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KK.2018.00028 vom 6. Dezember 2019</w:t>
      </w:r>
    </w:p>
    <w:p>
      <w:r>
        <w:t>ZH Sozialversicherungsgericht, 2019-12-06, DE</w:t>
      </w:r>
    </w:p>
    <w:p>
      <w:r>
        <w:rPr>
          <w:b/>
        </w:rPr>
        <w:t xml:space="preserve">Quelle: </w:t>
      </w:r>
      <w:r>
        <w:t>https://mcp.opencaselaw.ch/entscheid/zh_sozialversicherungsgericht_KK.2018.00028</w:t>
      </w:r>
    </w:p>
    <w:p>
      <w:r>
        <w:t>FR: ZH_SOZIALVERSICHERUNGSGERICHT KK.2018.00028 du 6 décembre 2019</w:t>
      </w:r>
    </w:p>
    <w:p>
      <w:r>
        <w:t>IT: ZH_SOZIALVERSICHERUNGSGERICHT KK.2018.00028 del 6 dicembre 2019</w:t>
      </w:r>
    </w:p>
    <w:p>
      <w:pPr>
        <w:pStyle w:val="Heading2"/>
      </w:pPr>
      <w:r>
        <w:t>Erwägungen</w:t>
      </w:r>
    </w:p>
    <w:p>
      <w:r>
        <w:rPr>
          <w:b/>
        </w:rPr>
        <w:t>E. 1</w:t>
      </w:r>
    </w:p>
    <w:p>
      <w:r>
        <w:t>X.___ , geboren 1988, war seit dem 16. April 2009 bei der Y.___ AG tätig (Urk. 12/5/1) und war über diese im Rahmen einer Kollektiv- Kranken- Tag geldversicherung nach dem Bundesgesetz über den Versicherungsvertrag (VVG; Police Nr. … ) bei der Zürich Versicherungs- Gesellschaft AG (im Folgen den: Zürich) für ein Taggeld von 80 % seines versicherten Verdienstes versichert, und zwar für eine Leistungsdauer von 730 Tagen nach einer Wartezeit von 30 Tagen (Urk. 12/3). Das Arbeitsverhältnis wurde per 31. Juli 2017 gekündigt (Urk. 12/5/1) . Am 11. August 2017 meldete die Arbeitgeberin der Zürich , dass der Versicherte wegen Krankheit seit 27. Juni 2017 arbeitsunfähig sei (Urk. 12/5/1).</w:t>
      </w:r>
    </w:p>
    <w:p>
      <w:r>
        <w:t>Die</w:t>
      </w:r>
    </w:p>
    <w:p>
      <w:r>
        <w:t>Zürich leistete Taggelder vom 31. Juli bis 30. November 2017 (Urk. 12/8/1-3). Nach Eingang des im Auftrag der</w:t>
      </w:r>
    </w:p>
    <w:p>
      <w:r>
        <w:t>Zürich</w:t>
      </w:r>
    </w:p>
    <w:p>
      <w:r>
        <w:t>ab gegebene n psychiatrischen Konsi liums von Dr. Z.___ , Facharzt für Psychiatrie und Psychothera pie, vom 23. Oktober 2017 (Urk. 2/6) teilte die Zürich dem Versicherten mit Schreiben vom 1. November 2017 mit, dass sie die Leistungen per 1. Dezember 2012 einstellen werde (Urk. 12/5/23). Dagegen opponierte der Versicherte mit Schreiben vom 9. November 2017 (Urk. 12/5/30). In der nachfolgenden Korres pondenz fanden die Parteien keine Einigung (Urk. 12/5/31-38).</w:t>
      </w:r>
    </w:p>
    <w:p>
      <w:r>
        <w:rPr>
          <w:b/>
        </w:rPr>
        <w:t>E. 1.1</w:t>
      </w:r>
    </w:p>
    <w:p>
      <w:r>
        <w:t>Streitigkeiten aus einer Zusatzversicherung zur sozialen Krankenversicherung unterstehen gemäss Art. 2 Abs. 2 Satz 2 des Bundesgesetzes vom 2 6. September 2014 betreffend die Aufsicht über die soziale Krankenversicherung (Krankenver sicherungsaufsichtsgesetz, KVAG) dem Bundesgesetz über den Versicherungsver trag (Versicherungsvertragsgesetz, VVG). Sie sind privatrechtlicher Natur (BGE 138 III 2 E. 1.1). Kollektive Krankentaggeldversicherungen werden vom Bundesgericht wie alle weiteren Taggeldversicherungen in ständiger Praxis unter den Begriff der Zusatzversicherung zur sozialen Krankenversicherung subsumiert (BGE 142 V 448 E. 4.1).</w:t>
      </w:r>
    </w:p>
    <w:p>
      <w:r>
        <w:rPr>
          <w:b/>
        </w:rPr>
        <w:t>E. 1.2</w:t>
      </w:r>
    </w:p>
    <w:p>
      <w:r>
        <w:t>Das Sozialversicherungsgericht ist als einzige kantonale Gerichtsinstanz für Kla gen über Streitigkeiten aus Zusatzversicherungen zur sozialen Krankenversiche rung nach dem KVG zuständig (Art. 7 der Schweizerischen Zivilprozessordnung, ZPO, in Verbindung mit § 2 Abs. 2 lit . b des Gesetzes über das Sozialversiche rungsgericht; GSVGer ; BGE 138 III 2 E. 1.2.2), ohne dass vorgängig ein Schlich tungsverfahren durchzuführen ist (BGE 138 III 558 E. 4).</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 richt im Verfahren betreffend Streitigkeiten aus Zusatzversicherungen zur sozia len Krankenversicherung nach dem KVG den Sachverhalt von Amtes wegen fest.</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w:t>
      </w:r>
    </w:p>
    <w:p>
      <w:r>
        <w:rPr>
          <w:b/>
        </w:rPr>
        <w:t>E. 1.5</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w:t>
      </w:r>
    </w:p>
    <w:p>
      <w:r>
        <w:rPr>
          <w:b/>
        </w:rPr>
        <w:t>E. 1.6</w:t>
      </w:r>
    </w:p>
    <w:p>
      <w:r>
        <w:t>Wird eine Tatsachenbehauptung einer Partei von der Gegenpartei substanziiert bestritten, so vermögen Parteigutachten als reine Parteibehauptungen diese allein nicht zu beweisen (BGE 141 III 433 E. 2.6 S. 438; vgl. auch BGE 132 III 83 E. 3.5 S. 88). Als Parteibehauptungen mögen sie allenfalls zusammen mit - durch Be weismittel nachgewiesenen - Indizien den Beweis zu erbringen. Werden sie aber nicht durch Indizien gestützt, so dürfen sie als bestrittene Behauptungen nicht als erwiesen erachtet werden (BGE 141 III  433 E. 2.6 S. 438). 2.</w:t>
      </w:r>
    </w:p>
    <w:p>
      <w:r>
        <w:rPr>
          <w:b/>
        </w:rPr>
        <w:t>E. 2</w:t>
      </w:r>
    </w:p>
    <w:p>
      <w:r>
        <w:t>Es sei die Beklagte zu verpflichten, dem Kläger auch nach Klageein leitung die Taggelder in Zukunft bis zur vollständigen Heilung des Klägers oder bis zur Ausschöpfung des Taggeldanspruches von 730 Tagen - zuzüglich 5 % Zins seit mittlerem Verfall - auszurichten.</w:t>
      </w:r>
    </w:p>
    <w:p>
      <w:r>
        <w:rPr>
          <w:b/>
        </w:rPr>
        <w:t>E. 2.1</w:t>
      </w:r>
    </w:p>
    <w:p>
      <w:r>
        <w:t>Grundlage für den geltend gemachten Taggeldanspruch ist primär der Kollektiv versicherungsvertrag zwischen der Y.___ AG als frühere Arbeitgeberin des Klägers und der Beklagten. Unstreitig ist die massgebende Versicherungspolice diejenige vom 1. Januar 2016 (Urk. 12/3). Demzufolge sind die darin genannten Allgemeinen Versicherungsbedingungen (AVB), Ausgabe 1/2015 (Urk. 12/4), an wendbar (Urk. 12/3 S. 4 oben). Ausserdem sind die Bestimmungen des VVG mas sgebend (vgl. Ziff. 10 AVB).</w:t>
      </w:r>
    </w:p>
    <w:p>
      <w:r>
        <w:rPr>
          <w:b/>
        </w:rPr>
        <w:t>E. 2.2</w:t>
      </w:r>
    </w:p>
    <w:p>
      <w:r>
        <w:t>Gemäss Police vom 1. Januar 2016 (Urk. 12/3 ) ist bei einer Krankheit 80 % des versicherten Verdienstes versichert, wobei die Leistungen höchstens 730 Tage mit Anrechnung der Wartefrist von 30 Tagen dauern ( S. 3 Mitte ).</w:t>
      </w:r>
    </w:p>
    <w:p>
      <w:r>
        <w:rPr>
          <w:b/>
        </w:rPr>
        <w:t>E. 2.3</w:t>
      </w:r>
    </w:p>
    <w:p>
      <w:r>
        <w:t>Gemäss Ziff. 2 lit . a AVB gilt als Krankheit jede Beeinträchtigung der körperli chen, geistigen oder psychischen Gesundheit, die nicht Folge eines Unfalles ist und die eine medizinische Untersuchung oder Behandlung erfordert oder eine Arbeitsunfähigkeit zur Folge hat.</w:t>
      </w:r>
    </w:p>
    <w:p>
      <w:r>
        <w:t>Arbeitsunfähigkeit ist die durch eine Beein trächtigung der körperlichen, geistigen oder psychischen Gesundheit bedingte, volle oder teilweise Unfähigkeit, im bisherigen Beruf oder Aufgabenbereich zu mutbare Arbeit zu leisten. Bei langer Dauer wird auch die zumutbare Tätigkeit in einem anderen Beruf oder Aufgabenberei ch berücksichtigt (Ziff. 6.1 AVB ).</w:t>
      </w:r>
    </w:p>
    <w:p>
      <w:r>
        <w:rPr>
          <w:b/>
        </w:rPr>
        <w:t>E. 2.4</w:t>
      </w:r>
    </w:p>
    <w:p>
      <w:r>
        <w:t>Laut Ziff. 8.1 AVB bezahlt die Beklagte</w:t>
      </w:r>
    </w:p>
    <w:p>
      <w:r>
        <w:t>für die Dauer der nachgewiesenen, ärzt lich attestierten Arbeitsunfähigkeit, frühestens nach Ablauf der in der Police fest gesetzten Wartefrist, den vereinbarten Prozentsatz des versicherten Verdienstes ( lit . a). Bei länger dauernder Arbeitsunfähigkeit wird das Taggeld nach einer an gemessenen Übergangsfrist entsprechend dem Grad der Erwerbsunfähigkeit aus gerichtet ( lit . b). Bei teilweiser Arbeitsunfähigkeit bezahlt die Beklagte das Tag geld entsprechend dem Grad der Arbeitsunfähigkeit. Für die Bemessung der Leis tungsdauer und Wartefrist zählen die Tage teilweiser Arbeitsunfähigkeit voll. Gleiches gilt, wenn das Taggeld entsprechend dem Grad der Erwerbsunfähigkeit ausgerichtet wird (Ziff. 8.8 AVB). Eine Arbeits- beziehungsweise Erwerbsunfähig keit von weniger als 25 % gibt keinen Anspruch auf Leistungen. Für die Bemes sung der Leistungsdauer und Wartefrist werden diese Tage nicht angerechnet (Ziff. 8.8 lit . a AVB). Die unter dem Vertrag versicherten Leistungen sind subsi diär geschuldet. Leisten andere Schadensversicherer ebenfalls nur subsidiär, so er bringt die Beklagte ihre Leistungen ihrem verhältnismässigen Anteil entspre chend (Ziff. 8.2 AVB). Ist die versicherte Person nach ärztlicher Feststellung ar beitsunfähig, wird bei voller Arbeitsunfähigkeit das im Vertrag aufgeführte Tag geld bis zur Höhe des nachgewiesenen Erwerbsausfalls ausgerichtet ( Art. 13 Abs. 1 AVB). Bei teilweiser Arbeitsunfähigkeit von mindestens 25 % wird das Taggeld entsprechend dem Grad der Arbeitsunfähigkeit ausgerichtet ( Art. 13 Abs. 2 AVB).</w:t>
      </w:r>
    </w:p>
    <w:p>
      <w:r>
        <w:rPr>
          <w:b/>
        </w:rPr>
        <w:t>E. 2.5</w:t>
      </w:r>
    </w:p>
    <w:p>
      <w:r>
        <w:t>Nach Eintritt eines versicherten Ereignisses ist so bald als möglich ein zur Berufs ausübung zugelassener Arzt/Zahnarzt beizuziehen, und für fachgemäss e Pflege zu sorgen. Die versicherte Person hat den Anordnungen des behandelnden Arz tes/Zahnarztes oder einer von ihm beauftragten medizinischen Hilfsperson Folge zu leisten. S ie ist ausserdem verpflichtet, sich den von der Beklagten angeordne ten Abklärungsmassnahmen zu unterziehen, insbesondere zumutbaren medizini schen Untersuchungen, die der Diagnose und Bestimmung der Leistungen dienen ( Ziff. 19.1 lit . a AVB).</w:t>
      </w:r>
    </w:p>
    <w:p>
      <w:r>
        <w:rPr>
          <w:b/>
        </w:rPr>
        <w:t>E. 2.6</w:t>
      </w:r>
    </w:p>
    <w:p>
      <w:r>
        <w:t>Der Versicherungsschutz endet unter anderem mit dem Ende des Versicherungs vertrages ( Ziff. 16.2 AVB). Besteht bei Ende des Versicherungsschutzes ein e leis tungsbegründende Arbeits- beziehungsweise Erwerbsunfähigkeit, erbringt die Klägerin ihre vertraglichen Leistungen über dieses Datum hinaus (Nachleistung). Diese Nachleistung entfällt unter anderem bei erneutem Auftreten einer Krankheit (Rückfall; Ziff. 8.6 lit . g AVB).</w:t>
      </w:r>
    </w:p>
    <w:p>
      <w:r>
        <w:rPr>
          <w:b/>
        </w:rPr>
        <w:t>E. 3</w:t>
      </w:r>
    </w:p>
    <w:p>
      <w:r>
        <w:t>Alles und Kosten- und Entschädigungsfolgen zuzüglich Mehrwert steuer zulasten der Beklagten. »</w:t>
      </w:r>
    </w:p>
    <w:p>
      <w:r>
        <w:t>Die Zürich holte in der Folge die Stellungnahme von Dr. A.___ , Facharzt für Psychiatrie und Psychotherapie, vom 5. November 2018 (Urk. 12/1) ein und ersuchte m it Klageantwort vom 14. November 2018 um Abweisung der Klage unter Entschädigungsfolgen zu Lasten des Klägers (Urk. 11). Am 15. März 2019 fand eine Instruktionsverhandlung statt (Protokoll S. 2).</w:t>
      </w:r>
    </w:p>
    <w:p>
      <w:r>
        <w:t>Mit Replik vom 19. März 2019 ergänzte der Kläger sein Rechtsbegehren dahin gehend, dass er beantragte, die Beklagte sei zu verpflichten , ihm vom 1. bis 15. Mai 2018 ein Taggeld zu 80 % - somit 15 Tage à CHF 143.61 - entsprechend CHF 2'154.15 - sowie unter Verrechnungsvorbehalt seitens der Arbeitslosenkasse vom 16. Mai 2018 bis am 28. Februar 2019 wieder zu 100 % - somit 289 Tage à CHF 179.51 - entspre ch end CHF 51'878.40 - auszurichten (Urk. 15). Am 8. Mai 2019 stellte die Beklagte den Antrag , die Protokollnotiz betreffend die Vergleichs gespräche anlässlich der Instruktionsverhandlung sei</w:t>
      </w:r>
    </w:p>
    <w:p>
      <w:r>
        <w:t>aus den Akten zu entfernen beziehungsweise zu schwärzen (Urk. 20) , und mit Duplik vom 15. August 2019 hielt sie an ihrem Rechtsbegehren fest (Urk. 22). Dies wurde dem Kläger am 19. August 2019 mitgeteilt (Urk. 24). Das Gericht zieht in Erwägung: 1.</w:t>
      </w:r>
    </w:p>
    <w:p>
      <w:r>
        <w:rPr>
          <w:b/>
        </w:rPr>
        <w:t>E. 3.1</w:t>
      </w:r>
    </w:p>
    <w:p>
      <w:r>
        <w:t>Der Kläger führte zur Begründung der Klage im Wesentlichen aus (Urk. 1) , es sei bewiesen, dass er vom 27. Juni 2017 bis am 30. April 2018 zu 100 % und seither zu 80 % arbeits- beziehungsweise erwerbsunfähig sei, trotzdem lehne die Be klagte ihre Leistungspflicht ab Dezember 2017 ab (S. 8 f. Ziff. 3.14). Gemäss bun desgerichtlicher Rechtsprechung habe die medizinische Beurteilung des behan delnden Facharztes höheres Gewicht als eine bloss einmalige Kurzuntersuchung durch einen Vertrauensarzt der Versicherung (S. 9 Ziff. 4.3). Sämtliche behan delnden Fachärzte seien von einer mittelschweren beziehungsweise schweren De pression ausgegangen. Die Stellungnahme des Vertrauensarztes der Beklagten ge niesse gemäss erwähnter höchstrichterlicher Rechtsprechung weniger Gewicht als diejenigen der behandelnden Fachärzte (S. 10 Ziff. 4.4).</w:t>
      </w:r>
    </w:p>
    <w:p>
      <w:r>
        <w:rPr>
          <w:b/>
        </w:rPr>
        <w:t>E. 3.2</w:t>
      </w:r>
    </w:p>
    <w:p>
      <w:r>
        <w:t>Dagegen wandte die Beklagte ein (Urk. 11), es sei dem Kläger nicht gelungen, das Vorliegen einer Arbeitsunfähigkeit zu beweisen. Dies ergebe sich aus den Beur teilungen der von ihr beigezogenen Fachärzte (S. 3 Ziff. 2) . Eine Arbeitsunfähig keit könne - wenn überhaupt - höchstens für die Dauer des stationären Aufent halts vom 10. Januar bis 9. März 2018 angenommen werden (S. 17 Ziff. 4.2). Eine starre Regel, wonach Stellungnahmen der behandelnden Ärzte höher zu gewich ten seien als diejenigen von Vertrauensärzten , existiere nicht. Überdies verfüge der Behandler über keinen Facharzttitel (S. 17 Ziff. 4.3).</w:t>
      </w:r>
    </w:p>
    <w:p>
      <w:r>
        <w:rPr>
          <w:b/>
        </w:rPr>
        <w:t>E. 3.3</w:t>
      </w:r>
    </w:p>
    <w:p>
      <w:r>
        <w:t>Streitig und zu prüfen ist, ob beim Kläger über den 30 . November 2017 hinaus eine leistungsbegründende Arbeitsunfähigkeit vorliegt.</w:t>
      </w:r>
    </w:p>
    <w:p>
      <w:r>
        <w:rPr>
          <w:b/>
        </w:rPr>
        <w:t>E. 4</w:t>
      </w:r>
    </w:p>
    <w:p>
      <w:r>
        <w:t>.3 und</w:t>
      </w:r>
    </w:p>
    <w:p>
      <w:r>
        <w:rPr>
          <w:b/>
        </w:rPr>
        <w:t>E. 4.1</w:t>
      </w:r>
    </w:p>
    <w:p>
      <w:r>
        <w:t>B.___ , Facharzt für Allgemeine Innere Medizin , bescheinigte</w:t>
      </w:r>
    </w:p>
    <w:p>
      <w:r>
        <w:t>dem Kläger mit zwischen 4. Juli und 1 8. August 2017 ausgestellten Attesten durchgehend eine Arbeitsunfähigkeit von 100 % vom 27. Juni bis 13. September 2017 (Urk. 12/6/1-4).</w:t>
      </w:r>
    </w:p>
    <w:p>
      <w:r>
        <w:t>Dr. C.___ , seit 29. August 2018 Facharzt</w:t>
      </w:r>
    </w:p>
    <w:p>
      <w:r>
        <w:t>für Psychiatrie und Psy chotherapie , attestierte dem Kläger eine Arbeitsunfähigkeit von 100 % vom 14. September bis 30. November 2017 (wobei in den Zeugnissen vom 27. Sep tember und 24. Oktober 2017 die Höhe der Arbeitsunfähigkeit nicht beziffert wurde) und vom 15. Dezember 2017 bis 9. Januar 2018 (Urk. 12/7/1-5) sowie eine solche von 80 % vom 19. Mai bis 31. Oktober 2018 (Urk. 16/1/1-5).</w:t>
      </w:r>
    </w:p>
    <w:p>
      <w:r>
        <w:t>Dr. D.___, Assistenzärztin an der p sychiatris chen K linik E.___ , attestierte eine Arbeitsunfähigkeit von 100 % vom 10. Januar bis 15. März 2018 (Urk. 16/7/1-4).</w:t>
      </w:r>
    </w:p>
    <w:p>
      <w:r>
        <w:t>F.___ , Facharzt für Psychiatrie und Psychotherapie, beschei nigte eine Arbeitsunfähigkeit von 80 % vom 1. November 2018 bis 31. März 2019 (Urk. 16/1/6-9).</w:t>
      </w:r>
    </w:p>
    <w:p>
      <w:r>
        <w:rPr>
          <w:b/>
        </w:rPr>
        <w:t>E. 4.2</w:t>
      </w:r>
    </w:p>
    <w:p>
      <w:r>
        <w:t>Mit Bericht vom 18. September 2017 stellte B.___ folgende Diagno sen mit Auswirkung auf die Arbeitsfähigkeit (Urk. 2/4 S. 3 Ziff. 5a): - Burnout Symptomatik - Angst und Panikstörung - mittelschwere depressive Episode</w:t>
      </w:r>
    </w:p>
    <w:p>
      <w:r>
        <w:t>Der Kläger berichte über Schlaflosigkeit, Schweissausbrüche, Diarrhoe, Herzrasen, Cephalgie , Konzentrationsstörung und allgemeine Müdigkeit (S. 2 Ziff. 3d). Es bestehe aktuell eine 100%ige Arbeitsunfähigkeit aufgrund starker körperlicher Symptome (S . 4 Ziff. 8a).</w:t>
      </w:r>
    </w:p>
    <w:p>
      <w:r>
        <w:rPr>
          <w:b/>
        </w:rPr>
        <w:t>E. 4.3</w:t>
      </w:r>
    </w:p>
    <w:p>
      <w:r>
        <w:t>) die Diagnose einer Anpassungsstörung mit vorwiegender Störung von anderen Gefühlen bei Arbeitsplatzkonflikt ohne Auswirkung auf die Arbeitsfähigkeit.</w:t>
      </w:r>
    </w:p>
    <w:p>
      <w:r>
        <w:rPr>
          <w:b/>
        </w:rPr>
        <w:t>E. 4.4</w:t>
      </w:r>
    </w:p>
    <w:p>
      <w:r>
        <w:t>) neu über zum Teil objektiv bestehende Auffassungsstörun gen, Konzentrationsstörungen und Merkfähigkeitsstörungen und Ich-Störungen in Form von Depersonalisations- und Derealisationserleben</w:t>
      </w:r>
    </w:p>
    <w:p>
      <w:r>
        <w:t>berichtete .</w:t>
      </w:r>
    </w:p>
    <w:p>
      <w:r>
        <w:t>Angesichts dieser Ungereimtheiten in den Berichten von Dr. C.___ vermag der Kläger damit</w:t>
      </w:r>
    </w:p>
    <w:p>
      <w:r>
        <w:t>kein positiv es Beweisergebnis herbeizuführen.</w:t>
      </w:r>
    </w:p>
    <w:p>
      <w:r>
        <w:t>Indem sich der Kläger auf die bundesgerichtliche Rechtsprechung beruft, wonach eine fachärztlich ge stellte Diagnose ausreichen soll e (Urk. 15 Ziff. 18.7) , um das Vorliegen einer Ar beitsunfähigkeit zu beweisen, verkennt er, dass die (fachärztlich) gestellte Diag nose nachvollziehbar sein muss, was bei der von Dr. C.___ gestellten Diagnose einer schweren Depression eben gerade nicht der Fall ist.</w:t>
      </w:r>
    </w:p>
    <w:p>
      <w:r>
        <w:rPr>
          <w:b/>
        </w:rPr>
        <w:t>E. 4.5</w:t>
      </w:r>
    </w:p>
    <w:p>
      <w:r>
        <w:t>) offenbar, da keine Angaben zu weiterführenden Abklärungen genannt worden seien, unkritisch die Beschwerdeschilderung des Klägers bei seiner diagnostischen Einschätzung übern ommen habe . Die Überlegungen von Dr. Z.___ , etwa in Be zug auf die Diskrepanz zwischen therapeutischen Bemühungen und der Schwere des geltend gemachten psychischen Störungsbildes, seien nachvollziehbar (S. 14 oben).</w:t>
      </w:r>
    </w:p>
    <w:p>
      <w:r>
        <w:rPr>
          <w:b/>
        </w:rPr>
        <w:t>E. 4.6</w:t>
      </w:r>
    </w:p>
    <w:p>
      <w:r>
        <w:t>) gingen von einer mittel gradigen depressiven Episode und akzentuierte n narzisstische n Persönlichkeits züge n aus und attestierten eine vollständige Arbeitsunfähigkeit für die Dauer des stationären Aufenthalts und eine Woche darüber hinaus . Im Gegensatz dazu stellte d er von der Beklagten mit einem psychiatrischen Konsilium beauftragte Dr. Z.___ (E.</w:t>
      </w:r>
    </w:p>
    <w:p>
      <w:r>
        <w:rPr>
          <w:b/>
        </w:rPr>
        <w:t>E. 4.7</w:t>
      </w:r>
    </w:p>
    <w:p>
      <w:r>
        <w:t>Im Bericht vom 5. Juni 2018 an die Invalidenversicherung schilderte Dr. C.___ (Urk. 2/12), es sei im Verlauf der Therapie zu einer leichten Besserung der Symp tomatik gekommen mit weniger aufdringlichen Suizidgedanken. Es seien auch positive Aktivitäten wieder möglich geworden. Dennoch seien die Symptome trotz der psychotherapeutischen Behandlung und der Eindosierung eines Antide pressivums zum überwiegenden Teil unverändert, so dass bis heute die Diagno sekriterien einer schweren depressiven Episode erfüllt blieben. Die Schlafstörun gen hätten unter dem bedarfsweisen Einsatz von Prazine gebessert werden kön nen, jedoch bestünden auch diese weiterhin (S. 2 Mitte).</w:t>
      </w:r>
    </w:p>
    <w:p>
      <w:r>
        <w:t>Im Rahmen des stationären Aufenthalts vom 10. Januar bis 9. März 2018 sei es zu einer partiellen Remission der Symptomatik gekommen. Nach der Rückkehr ins häusliche Umfeld habe diese Besserung für zirka 10 Tage weiterbest anden , danach sei es zu einer erneuten Zunahme der depressiven Symptomatik gekom men. Es sei dem Kläger schwer gefallen , die positiven Aktivitäten beizubehalten. Therapietermine, wöchentlich geplant (S. 1 Ziff. 1.2), habe er mehrfach aufgrund von körperlichen Erkrankungen wie Erkältungssymptomatiken oder Schwindel und Antriebslosigkeit abgesagt (S . 3 Ziff. 2.2).</w:t>
      </w:r>
    </w:p>
    <w:p>
      <w:r>
        <w:rPr>
          <w:b/>
        </w:rPr>
        <w:t>E. 4.8</w:t>
      </w:r>
    </w:p>
    <w:p>
      <w:r>
        <w:t>Dr. A.___ stellte in seiner Aktenbeurteilung vom 5. November 2018 (Urk. 12/1) fest, dass das Vorgehen in der diagnostischen Herleitung durch Dr. Z.___ (vor stehend E. 5.2 und 5.4) den Vorgaben beziehungsweise Empfehlungen entspre che, wohingegen der behandelnde Therapeut Dr. C.___ (vorstehend E.</w:t>
      </w:r>
    </w:p>
    <w:p>
      <w:r>
        <w:rPr>
          <w:b/>
        </w:rPr>
        <w:t>E. 5</w:t>
      </w:r>
    </w:p>
    <w:p>
      <w:r>
        <w:t>.4</w:t>
      </w:r>
    </w:p>
    <w:p>
      <w:r>
        <w:t>D er von Dr. C.___ und von Dr. Z.___ erhobene psychopathologische Befund stimm t im Wesentlichen überein : So berichteten beide, dass der Kläger bewusst seinsklar und zu allen Qualitäten orientiert sei beziehungsweise zum Ort, zur Per son und zur Situation orientiert sei. Aufmerksamkeit und Merkfähigkeit im Ge spräch seien kaum gestört beziehungsweise nicht wesentlich beeinträchtigt . Für beide Ärzte ergaben sich keine Hinweise auf Zwangsgedanken oder handlungen , Phobien, offensichtlicher Wahn, Sinnes - und Ich-Störungen oder ein wahnhaft-paranoides Erleben.</w:t>
      </w:r>
    </w:p>
    <w:p>
      <w:r>
        <w:t>Unterschiede ergeben sich lediglich beim formalen</w:t>
      </w:r>
    </w:p>
    <w:p>
      <w:r>
        <w:t>Denken, welches Dr. C.___ als sehr eingeengt auf die Thematik um seinen Chef und sein letztes Arbeitsumfeld beurteilte und Dr. Z.___ als unauffällig beschrieb.</w:t>
      </w:r>
    </w:p>
    <w:p>
      <w:r>
        <w:t>Das inhaltliche Denken erachtete Dr. Z.___ als nachvollziehbar, während sich Dr. C.___ dazu nicht explizit äusserte.</w:t>
      </w:r>
    </w:p>
    <w:p>
      <w:r>
        <w:t>Insoweit Dr. C.___ unter dem Titel « psych ischer Befund »</w:t>
      </w:r>
    </w:p>
    <w:p>
      <w:r>
        <w:t>anführte , der Kläger habe ein häufiges Gefühl der inneren Leere, sei innerlich unruhig und durchgängig antriebsgehemmt und es bestünden ein sozialer Rückzug und Suizidgedanken, Einschlafstörungen ,</w:t>
      </w:r>
    </w:p>
    <w:p>
      <w:r>
        <w:t>Müdigkeit und eine blockierte Sexualität, handelt es sich hierbei nicht um objektive Befunde beziehungsweise um von ihm beobachtetes Verhalten, sondern um subjektiv geklagte Beschwerden des Klägers . Diese wären für die Nachvollziehbarkeit des Berichts einerseits anhand konkreter Aussagen des Klägers zu den Symptomen</w:t>
      </w:r>
    </w:p>
    <w:p>
      <w:r>
        <w:t>(beispielsweise darüber, an welchen früher aus geübten Aktivitäten er die Lust dazu und Freude darüber verloren hat) zu kon kretisieren und anhand eigener Beobachtungen von Dr. C.___ zu kommentieren gewesen (beispielsweise in welchem Verhältnis die geklagte erhöhte Ermüdbarkeit zu r</w:t>
      </w:r>
    </w:p>
    <w:p>
      <w:r>
        <w:t>von ihm beobachteten kaum gestörten Aufmerksamkeit und Merkfähigkeit im Gespräch gestanden haben ). Indem Dr. C.___ im Wesentlichen die theoretischen Symptome einer schweren Depression lehrbuchmässig rezitierte, erscheint sein Bericht allzu konstruiert und wenig nachvollziehbar .</w:t>
      </w:r>
    </w:p>
    <w:p>
      <w:r>
        <w:t>Auffallend ist, dass Dr. C.___ im Bericht vom 5. Juni 2018 (E. 4.7 ) über eine leichte Besserung der Symptomatik (S. 2 Mitte) berichtete und eine Arbeitsfähigkeit von 20 % attestierte (S. 1 unten) , obwohl er im Gegensatz zum Bericht vom 21. No vember 2017 (E.</w:t>
      </w:r>
    </w:p>
    <w:p>
      <w:r>
        <w:rPr>
          <w:b/>
        </w:rPr>
        <w:t>E. 5.5</w:t>
      </w:r>
    </w:p>
    <w:p>
      <w:r>
        <w:t>Der Kläger unterzog sich vom 10. Januar bis 9. März 2018 einer stationären The rapie in der E.___ . Deren Ärzte gingen davon aus (E. 4.6) , dass es sich beim Kläger um einen Patienten mit deutlich akzentuierten , narzisstischen Persönlichkeitszü gen handelt und bei psychosozialer Belastungssituation eine mittelgradig depres sive Symptomatik vorliege (S. 4).</w:t>
      </w:r>
    </w:p>
    <w:p>
      <w:r>
        <w:t>Vermochte der Kläger - wie vorstehend dargelegt (E. 5.4) - keine Arbeitsunfähig keit vor dem Eintritt in die E.___ zu belegen, kann der notwendig gewordene sta tionäre Aufenthalt in der E.___ höchstens als Rückfall betrachtet werden. Dagegen ist der Kläger indessen nicht versichert, entfällt doch eine Nachleistungspflicht bei einem Rückfall (vorstehend E. 2.6).</w:t>
      </w:r>
    </w:p>
    <w:p>
      <w:r>
        <w:rPr>
          <w:b/>
        </w:rPr>
        <w:t>E. 5.6</w:t>
      </w:r>
    </w:p>
    <w:p>
      <w:r>
        <w:t>Zusammenfassend vermag der Kläger nicht zu beweisen, dass er zwischen 1. De zember 2017 und 28. Februar 2019 überwiegend wahrscheinlich zu 80 bezie hungsweise 100 % arbeitsunfähig war. Damit ist die Klage abzuweisen.</w:t>
      </w:r>
    </w:p>
    <w:p>
      <w:r>
        <w:rPr>
          <w:b/>
        </w:rPr>
        <w:t>E. 6.1</w:t>
      </w:r>
    </w:p>
    <w:p>
      <w:r>
        <w:t>Laut Art. 226 ZPO kann das Gericht jederzeit Instruktionsverhandlungen durch führen (Abs. 1). Die Instruktionsverhandlung dient der freien Erörterung des Streitgegenstandes, der Ergänzung des Sachverhalts, dem Versuch einer Einigung und der Vorbereitung der Hauptverhandlung (Abs. 2). Das Gericht kann Beweise a bnehmen (Abs. 3).</w:t>
      </w:r>
    </w:p>
    <w:p>
      <w:r>
        <w:t>Gemäss Art. 235 Abs. 1 ZPO führt das Gericht über jede Verhandlung Protokoll. Dieses enthält insbesondere: a. den Ort und die Zeit der Verhandlung; b. die Zusammensetzung des Gerichts; c. die Anwesenheit der Parteien und ihrer Vertretungen; d. die Rechtsbegehren, Anträge und Prozesserklärungen der Parteien; e. die Verfügungen des Gerichts; f. die Unterschrift der protokollführenden Person.</w:t>
      </w:r>
    </w:p>
    <w:p>
      <w:r>
        <w:t>Ü ber Gesuche um Protokollberichtigung entscheidet das Gericht (Art. 235 Abs. 3 ZPO).</w:t>
      </w:r>
    </w:p>
    <w:p>
      <w:r>
        <w:rPr>
          <w:b/>
        </w:rPr>
        <w:t>E. 6.2</w:t>
      </w:r>
    </w:p>
    <w:p>
      <w:r>
        <w:t>Die Instruktionsverhandlung wird häufig in zwei Teile getrennt. In einem offizi ellen Teil stellt das Gericht aufgrund seiner Fragepflicht die notwendigen Fragen, die Parteien ergänzen in einer Replik und einer Duplik den Sachverhalt und es wird Beweis abgenommen. In einem inoffiziellen Teil wird im Hinblick auf einen Vergleich unpräjudizie ll über den Fall und über eine vergleichsweise Lösung ge sprochen. Das, was in diesem inoffiziellen Teil der Instruktionsverhandlung ge sagt wird, darf im weiteren Prozess nicht verwendet werden, wenn der Vergleich scheitert und das Verfahren zum gerichtlichen Entscheid hin weitergeführt wird. Dementsprechend wird nur der offizielle Teil der Instruktionsverhandlung, nicht aber der inoffizielle Teil protokolliert ( Leu enberger, in Sutter- Somm / Hasenb ö h ler /Leuenberger, ZPO Kommentar, Art. 226 N 14 f.).</w:t>
      </w:r>
    </w:p>
    <w:p>
      <w:r>
        <w:t>Die Inst ru ktionsverhandlung vom 15. März 2019 wurde zum Versuch einer Eini gung durchgeführt (Urk. 13) , und es fanden vornehmlich Vergleichsgespräche st att. Die Ausführungen betreffend die Vergleichsgespräche sind aus dem Proto koll zu entfernen.</w:t>
      </w:r>
    </w:p>
    <w:p>
      <w:r>
        <w:rPr>
          <w:b/>
        </w:rPr>
        <w:t>E. 7.1</w:t>
      </w:r>
    </w:p>
    <w:p>
      <w:r>
        <w:t>Gemäss Art. 114 lit . e ZPO ist das Verfahren kostenlos .</w:t>
      </w:r>
    </w:p>
    <w:p>
      <w:r>
        <w:rPr>
          <w:b/>
        </w:rPr>
        <w:t>E. 7.2</w:t>
      </w:r>
    </w:p>
    <w:p>
      <w:r>
        <w:t>Der durch eine n externe n Anw a lt vertretenen Beklagten ist antragsgemäss (Urk.</w:t>
      </w:r>
    </w:p>
    <w:p>
      <w:r>
        <w:t>1 1 S.</w:t>
      </w:r>
    </w:p>
    <w:p>
      <w:r>
        <w:t>2) eine Parteientschädigung zuzusprechen (vgl. Urteil des Bundesge richts 4A_194/2010 vom 1 7. November 2010 E. 2.2.1). Diese ist beim praxisge mässen Stundenansatz von Fr. 220.-- (zuzüglich MWSt ) ermessensweise auf Fr. 1’8 00.-- (inklusive Barauslagen und MWSt ) festzulegen.</w:t>
      </w:r>
    </w:p>
    <w:p>
      <w:r>
        <w:t>Das Gericht beschliesst</w:t>
      </w:r>
    </w:p>
    <w:p>
      <w:r>
        <w:t>Das Protokoll wird im Sinne der Erwägungen berichtigt.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