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KK.2011.00021 vom 31. Januar 2013</w:t>
      </w:r>
    </w:p>
    <w:p>
      <w:r>
        <w:t>ZH Sozialversicherungsgericht, 2013-01-31, DE</w:t>
      </w:r>
    </w:p>
    <w:p>
      <w:r>
        <w:rPr>
          <w:b/>
        </w:rPr>
        <w:t xml:space="preserve">Quelle: </w:t>
      </w:r>
      <w:r>
        <w:t>https://mcp.opencaselaw.ch/entscheid/zh_sozialversicherungsgericht_KK.2011.00021</w:t>
      </w:r>
    </w:p>
    <w:p>
      <w:r>
        <w:t>FR: ZH_SOZIALVERSICHERUNGSGERICHT KK.2011.00021 du 31 janvier 2013</w:t>
      </w:r>
    </w:p>
    <w:p>
      <w:r>
        <w:t>IT: ZH_SOZIALVERSICHERUNGSGERICHT KK.2011.00021 del 31 gennaio 2013</w:t>
      </w:r>
    </w:p>
    <w:p>
      <w:pPr>
        <w:pStyle w:val="Heading2"/>
      </w:pPr>
      <w:r>
        <w:t>Erwägungen</w:t>
      </w:r>
    </w:p>
    <w:p>
      <w:r>
        <w:rPr>
          <w:b/>
        </w:rPr>
        <w:t>E. 3</w:t>
      </w:r>
    </w:p>
    <w:p>
      <w:r>
        <w:t>3.1Â Â Â Â  Der Beklagte wendet gegen die eingeklagte Forderung zunÃ¤chst ein, die vereinbarten AVB seien fÃ¼r ihn als Dritten nicht verbindlich. Er sei nÃ¤mlich nicht Partei der von der ehemaligen Arbeitgeberin mit der KlÃ¤gerin zu seinen Gunsten abgeschlossenen Erwerbsausfallsversicherung und habe weder Exemplare der geltenden AVB erhalten noch diese in irgendeiner Weise genehmigt.</w:t>
      </w:r>
    </w:p>
    <w:p>
      <w:r>
        <w:t>3.2Â Â Â Â  Die VertrÃ¤ge vom 29. Juni 2005 und vom 2. Februar 2010 wurden zwischen der KlÃ¤gerin als Versicherer und der ehemaligen Arbeitgeberin des Beklagten als Versicherungsnehmerin abgeschlossen (Urk. 2/1-2). Es handelt sich hierbei um eine kollektive Krankentaggeldversicherung zu Gunsten des Personals der Versicherungsnehmerin, wozu der Beklagte gehÃ¶rte. GemÃ¤ss Art. 87 VVG steht demjenigen, zu dessen Gunsten eine kollektive Unfall- oder Krankenversicherung abgeschlossen worden ist, mit dem Eintritt des Unfalls oder der Krankheit ein selbstÃ¤ndiges Forderungsrecht gegen den Versicherer zu. Diese EinrÃ¤umung eines selbstÃ¤ndigen Forderungsrechts an die versicherte Person wird in der Lehre teilweise als Anwendungsfall eines Vertrages zugunsten Dritter nach Art. 112 des Schweizerischen Obligationenrechts (OR) betrachtet und teilweise als Rechtsgebilde eigener Art qualifiziert, dessen Natur sich aus dem VVG selber ergebe (vgl. Maurer, a.a.O., S. 315 und Fn 753 ff.). Mit Ausnahme des unmittelbaren Rechts auf die Versicherungsleistung bleiben alle Ã¼brigen Rechte und Pflichten aus dem Versicherungsvertrag beim Versicherungsnehmer (Hans-Rudolf MÃ¼ller, Grundlagen der Krankentaggeldversicherung nach VVG, in: Adrian von Kaenel [Hrsg.], Krankentaggeldversicherung: Arbeits- und versicherungsrechtliche Aspekte, ZÃ¼rich 2007, S. 30; vgl. auch Gonzenbach, in: Basler Kommentar zum Obligationenrecht I, 4. Auflage, Basel 2007, Art. 112 N 15 ff.).</w:t>
      </w:r>
    </w:p>
    <w:p>
      <w:r>
        <w:t>Â Â Â Â Â Â Â Â  Die Rechtsnatur der zu beurteilenden Erwerbsausfall-Versicherung hat zur Folge, dass die Vereinbarung der Anwendbarkeit von AVB keiner Zustimmung des Beklagten als versicherter Person bedurfte, um gÃ¼ltig zustande zu kommen. Es wird vom Beklagten sodann weder geltend gemacht noch ergeben sich aus den Akten Anhaltspunkte dafÃ¼r, dass die KlÃ¤gerin die ehemalige Arbeitnehmerin als Versicherungsnehmerin ungenÃ¼gend Ã¼ber die Tragweite der AVB informiert hÃ¤tte (vgl. dazu Art. 3 VVG).</w:t>
      </w:r>
    </w:p>
    <w:p>
      <w:r>
        <w:t>3.3Â Â Â Â  Das VVG kannte bis Ende 2006 keine Bestimmung betreffend die Information der Versicherten. Nach der hÃ¶chstrichterlichen Rechtsprechung war nur ein kaskadenartig verlaufender Informationsfluss vom Versicherer zum Arbeitgeber und von diesem zu seinen Arbeitnehmern systemkonform. Dagegen konnte von den Versicherern nicht verlangt werden, die Namen der Versicherten ausfindig zu machen oder das Personal anlÃ¤sslich von Informationsveranstaltungen oder durch einen Aushang im Betrieb zu orientieren. Der am 1. Januar 2007 in Kraft getretene Art. 3 Abs. 3 VVG enthÃ¤lt eine Regelung betreffend die Information der versicherten Personen bei KollektivvertrÃ¤gen, die anderen Personen als dem Versicherungsnehmer einen direkten Leistungsanspruch verleihen. Demnach ist der Versicherungsnehmer verpflichtet, die versicherten Personen Ã¼ber den wesentlichen Inhalt des Vertrages sowie dessen Ãnderungen und AuflÃ¶sung zu unterrichten, wobei der Versicherer dem Versicherungsnehmer die zur Information notwendigen Unterlagen zur VerfÃ¼gung zu stellen hat (vgl. zum Ganzen MÃ¼ller, a.a.O., S. 37 f.).</w:t>
      </w:r>
    </w:p>
    <w:p>
      <w:r>
        <w:t>Â Â Â Â Â Â Â Â  Es fehlt eine Regelung, welche die KlÃ¤gerin verpflichtet hÃ¤tte, den Beklagten Ã¼ber die vereinbarten AVB zu informieren. Sodann ergeben sich weder aus den Akten noch aufgrund der Parteivorbringen Anhaltspunkte dafÃ¼r, dass die KlÃ¤gerin ihren Informationspflichten gegenÃ¼ber der ehemaligen Arbeitgeberin des Beklagten nicht nachgekommen wÃ¤re. Unterliess es die Arbeitgeberin in der Folge, den Beklagten Ã¼ber seine Rechte aus dem Versicherungsvertrag in Kenntnis zu setzen, hat nicht die KlÃ¤gerin fÃ¼r dieses VersÃ¤umnis einzustehen (vgl. auch das Urteil des Sozialversicherungsgerichts KK.2009.00027 vom 27. Mai 2011, E. 4).</w:t>
      </w:r>
    </w:p>
    <w:p>
      <w:r>
        <w:t>3.4Â Â Â Â  Aufgrund des Gesagten sind die im Vertrag vom 29. Juni 2005 erwÃ¤hnten AVB 2004 fÃ¼r die erste Versicherungsperiode vom 1. Juni 2006 bis 31. Dezember 2008 (Urk. 2/1 S. 4) und die im Vertrag vom 2. Februar 2010 genannten AVB 2008 fÃ¼r die anschliessende Vertragsdauer vom 1. Januar 2009 bis 31. Dezember 2011 verbindlich, unabhÃ¤ngig davon, ob der Beklagte von der KlÃ¤gerin darÃ¼ber informiert wurde.</w:t>
      </w:r>
    </w:p>
    <w:p>
      <w:r>
        <w:rPr>
          <w:b/>
        </w:rPr>
        <w:t>E. 4</w:t>
      </w:r>
    </w:p>
    <w:p>
      <w:r>
        <w:t>4.1Â Â Â Â  Der Beklagte macht sodann sinngemÃ¤ss geltend, beim abgeschlossenen Versicherungsvertrag handle es sich nicht um eine Schadensversicherung, welche die VermÃ¶genseinbusse infolge krankheitsbedingter ArbeitsunfÃ¤higkeit abdecke, sondern um eine Summenversicherung, welche die Kumulation von Leistungen verschiedener Versicherungen zulasse.</w:t>
      </w:r>
    </w:p>
    <w:p>
      <w:r>
        <w:t>4.2Â Â Â Â  Nach der Rechtsprechung liegt eine Schadensversicherung vor, wenn die Parteien das Vorhandensein eines VermÃ¶gensschadens als selbstÃ¤ndige Bedingung fÃ¼r die Ausrichtung von Versicherungsleistungen betrachten. Fehlt eine dahingehende Regelung, ist der Vertrag als Summenversicherung zu qualifizieren (Boll, in: Kommentar zum Schweizerischen Privatrecht, VVG, Basel 2001, Vorbemerkungen zu Art. 48 N 5 mit Hinweisen). Entscheidend ist die Formulierung der Vertragsbedingungen. Falls mit der Versicherung der tatsÃ¤chliche Verdienstausfall ausgeglichen werden soll, handelt es sich um eine Schadensversicherung. Wird jedoch die Bezahlung einer klar festgelegten Summe vereinbart, so handelt es sich um eine Summenversicherung. Nicht zutreffend ist jedoch die weit verbreitete Meinung, bei der Versicherung einer Lohnsumme handle es sich automatisch um eine Summenversicherung (MÃ¼ller, a.a.O., S. 28 f.).</w:t>
      </w:r>
    </w:p>
    <w:p>
      <w:r>
        <w:t>4.3Â Â Â Â  In den VertrÃ¤gen vom 29. Juni 2005 und vom 2. Februar 2010 wird zwar jeweils eine festgelegte Lohnsumme fÃ¼r das ganze Personal versichert. Allerdings ergibt sich aus der Bezeichnung als Erwerbsausfall-Versicherung (Urk. 2/1-2), der Deckung des Erwerbsausfalls, der durch ArbeitsunfÃ¤higkeit infolge Krankheit entstanden ist, als Versicherungszweck (Ar.t 1.1 der AVB, Ausgaben 2004 und 2008; Urk. 2/3, Urk. 2/6) und aus dem Umstand, dass der durch den Versicherungsfall entgangene Verdienst beziehungsweise das entgangene Erwerbseinkommen als Grundlage fÃ¼r die Bemessung der Taggelder gilt (Art. 7.2.2 der AVB, Ausgaben 2004 und 2008; Urk. 2/3, Urk. 2/6), dass die Versicherung als Schadensversicherung konzipiert worden ist.</w:t>
      </w:r>
    </w:p>
    <w:p>
      <w:r>
        <w:rPr>
          <w:b/>
        </w:rPr>
        <w:t>E. 5</w:t>
      </w:r>
    </w:p>
    <w:p>
      <w:r>
        <w:t>5.1Â Â Â Â  Uneinigkeit besteht zwischen den Parteien ferner darÃ¼ber, ob die KlÃ¤gerin aufgrund der anwendbaren AVB zur RÃ¼ckforderung des geltend gemachten Betrages berechtigt ist.</w:t>
      </w:r>
    </w:p>
    <w:p>
      <w:r>
        <w:t>Â Â Â Â Â Â Â Â  Die KlÃ¤gerin beruft sich fÃ¼r ihre Forderung im Wesentlichen auf Art. 11.2 und 11.4.1 der in der Periode vom 1. Juni 2006 bis 31. Dezember 2008 anwendbaren AVB 2004 und Art. 11.1.3 und 11.3.1 der ab 1. Januar 2009 geltenden AVB 2008.</w:t>
      </w:r>
    </w:p>
    <w:p>
      <w:r>
        <w:t>5.2Â Â Â Â</w:t>
      </w:r>
    </w:p>
    <w:p>
      <w:r>
        <w:t>5.2.1Â Â  Art. 11.2 AVB 2004 mit der Ãberschrift ÂSozialversicherungenÂ bestimmt, dass die Taggeldleistungen um den Betrag der Leistungen aus Sozialversicherungen gekÃ¼rzt werden, falls Sozialversicherungen leistungspflichtig sind; der Leistungsanspruch ist bei der entsprechenden Sozialversicherung anzumelden (Urk. 2/3 S. 12).</w:t>
      </w:r>
    </w:p>
    <w:p>
      <w:r>
        <w:t>Â Â Â Â Â Â Â Â  Der unter der Ãberschrift Â11.4. ÃberversicherungÂ eingeordnete Art. 11.4.1 AVB 2004 bestimmt unter anderem, dass den versicherten Personen aus den Leistungen nach den AVB unter BerÃ¼cksichtigung der Leistungen von Dritten kein Gewinn erwachsen darf, dass die Leistungen bei einer Ãberversicherung entsprechend gekÃ¼rzt werden und die zuviel erbrachten Leistungen zurÃ¼ckgefordert werden (Urk. 2/3 S. 12).</w:t>
      </w:r>
    </w:p>
    <w:p>
      <w:r>
        <w:t>5.2.2Â Â  Bei Art. 11.2 AVB 2004 handelt es sich um eine sogenannte kombinierte SubsidiÃ¤r- und KomplementÃ¤rklausel, durch welche allfÃ¤llige Sozialversicherungsleistungen durch die Krankentaggelder des Zusatzversicherers aufgestockt werden (vgl. Maurer, a.a.O., S. 376 ff.). Obergrenze der Leistungen bildet hier nicht der gesamte durch den Versicherungsfall entgangene Verdienst wie bei Art. 11.4.1 AVB 2004 (vgl. auch Art. 8.3.1 AVB 2004 [Urk. 2/1 S.8]), sondern die HÃ¶he des versicherten Taggeldes. Die gemÃ¤ss Art. 11.2 AVB 2004 mÃ¶gliche Taggeldreduktion geht mithin Ã¼ber diejenige beim Vorliegen eines Versicherungsgewinns im Sinne von Art. 11.4.1 AVB 2004 hinaus (vgl. auch das Urteil des Sozialversicherungsgerichts KK.2009.00038 vom 30. April 2011, E. 5).</w:t>
      </w:r>
    </w:p>
    <w:p>
      <w:r>
        <w:t>Â Â Â Â Â Â Â Â  Daraus, dass in Art. 11.2 AVB 2004 kein ausdrÃ¼ckliches RÃ¼ckforderungsrecht bei nachtrÃ¤glich erbrachten Sozialversicherungsleistungen statuiert ist, kann der Beklagte nichts zu seinen Gunsten ableiten. Art. 11.3 AVB 2004 hÃ¤lt klar fest, dass im VerhÃ¤ltnis zu den Sozialversicherungen keine Vorleistungen vorgesehen sind (Urk. 2/3 S. 12). Sodann bestimmen die AVB unter den Ãberschriften Â8. LeistungenÂ beziehungsweise Â8.5. LeistungsbeschrÃ¤nkungenÂ (Art. 8.5.3 AVB 2004 [Urk. 2/3 S. 9]) und Â11.4. ÃberversicherungÂ (Art. 11.4.1 AVB 2004 [Urk. 2/3 S. 12]), dass irrtÃ¼mlich, zu Unrecht und wegen Ãberversicherung zu viel erbrachte Leistungen zurÃ¼ckzuerstatten sind. Sinn und Zweck der Regelung gemÃ¤ss Art. 11.2 AVB 2004 und ihre Auslegung im Kontext der gesamten AVB und nach dem Vertrauensprinzip sprechen fÃ¼r ein RÃ¼ckforderungsrecht des Versicherers, falls die Taggelder bei der Auszahlung nicht gekÃ¼rzt wurden, weil damals noch keine Sozialversicherungsleistungen erbracht wurden, und es anschliessend zu einer rÃ¼ckwirkenden Zusprechung von Sozialversicherungsleistungen kommt (vgl. dazu auch den im Urteil des Sozialversicherungsgerichts KK.2005.00025 vom 21. Mai 2007, E. 3.4.2 und 3.4.5 beurteilten Sachverhalt). Es ist nÃ¤mlich nicht einzusehen, weshalb in dieser Konstellation eine andere Regelung Platz greifen sollte.</w:t>
      </w:r>
    </w:p>
    <w:p>
      <w:r>
        <w:t>Â Â Â Â Â Â Â Â  Besteht nach dem Gesagten ein vertraglicher Anspruch auf RÃ¼ckforderung, scheidet ein solcher aus ungerechtfertigter Bereicherung aus (vgl. Gauch/Schluep/Schmid/Rey, Schweizerisches Obligationenrecht Allgemeiner Teil, Band I, 8. Auflage, ZÃ¼rich 2003, N 1499 und N 1507 ff.). Entgegen der Ansicht des Beklagten spielt es auch keine Rolle, dass die IV-Stelle die nachzuzahlenden Rentenbetreffnisse nicht direkt der KlÃ¤gerin auszahlte, da die IV-Stelle fÃ¼r eine Drittauszahlung teils weitergehende Voraussetzungen zu beachten hat und das Gericht bezÃ¼glich der vorliegend zu beurteilenden Streitfragen nicht an den Entscheid der Invalidenversicherung gebunden ist.</w:t>
      </w:r>
    </w:p>
    <w:p>
      <w:r>
        <w:t>5.3Â Â Â Â  In den AVB 2008 wurde die Bestimmung betreffend Koordination der Taggelder mit Sozialversicherungsleistungen und die ÃberentschÃ¤digungsregelung in den AVB 2004 mit den Art. 11.1.3 AVB 2008 Art. 11.3.1 AVB 2008 im Wesentlichen unverÃ¤ndert Ã¼bernommen (Urk. 2/6 S. 10 f.). Neu ist einzig die im Vertrag vom 2. Februar 2010 aufgenommene besondere Bedingung zu beachten, dass bei Zusammentreffen der Taggeldleistungen mit Sozialversicherungsleistungen Anspruch besteht auf 90 % des letzten vereinbarten Bruttolohnes, jedoch nie mehr als der bisher vereinbarte Nettolohn (Urk. 2/2 S. 4). Unter Vorbehalt der besonderen Bedingung kann bezÃ¼glich RÃ¼ckforderungsrecht des Versicherers bei nachtrÃ¤glich erbrachten Sozialversicherungsleistungen auf die vorstehende ErwÃ¤gung verwiesen werden.</w:t>
      </w:r>
    </w:p>
    <w:p>
      <w:r>
        <w:t>5.4Â Â Â Â</w:t>
      </w:r>
    </w:p>
    <w:p>
      <w:r>
        <w:t>5.4.1Â Â  Die dem Beklagten rÃ¼ckwirkend zugesprochene Invalidenrente entspricht fÃ¼r den Zeitraum vom 1. Februar bis 31. Dezember 2008 einem Gesamtbetrag von Fr. 17Â798.-- (11 x Fr. 1Â618.--). Unter BerÃ¼cksichtigung der auf diesen Zeitraum entfallenden nachgezahlten Verzugszinsen von Fr. 346.65 (Fr. 381.95 : 368 Tage x 334 Tage; vgl. vorstehend E. 2.1 sowie Urk. 2/10) belaufen sich die nachgezahlten Rentenleistungen auf Fr. 18Â144.65. Da die fÃ¼r den gleichen Zeitraum bezogenen Taggelder von Fr. 53Â449.25 (vgl. Urk. 2/10) gemÃ¤ss Art. 11.2 AVB 2004 um den Betrag der Leistungen aus Sozialversicherungen gekÃ¼rzt werden, entspricht die RÃ¼ckforderung fÃ¼r die Periode vom 1. Februar bis 31. Dezember 2008 den fÃ¼r diese Zeit ausgerichteten Rentenleistungen von Fr. 18Â144.65.</w:t>
      </w:r>
    </w:p>
    <w:p>
      <w:r>
        <w:t>5.4.2Â Â  FÃ¼r die Zeit vom 1. Januar bis 3. Februar 2009 wurden dem Beklagten rÃ¼ckwirkend Rentenbetreffnisse von Fr. 1Â847.80 zugesprochen (Fr. 1Â669.-- fÃ¼r den Januar 2009 und Fr. 1Â669.-- : 28 Tage x 3 Tage fÃ¼r Februar 2009; vgl. vorstehend E. 2.1 sowie Urk. 2/10, Urk. 2/12). Zusammen mit den auf diesen Zeitraum entfallenden nachgezahlten Verzugszinsen von Fr. 35.30 (Fr. 381.95 : 368 Tage x 34 Tage; vgl. vorstehend E. 2.1 sowie Urk. 2/10) belaufen sich die nachgezahlten Rentenleistungen auf Fr. 1Â883.10. FÃ¼r die gleiche Zeit zahlte die KlÃ¤gerin Taggelder im Betrag von Fr. 5Â437.30 aus, entsprechend 80 % des auf diesen Zeitraum entfallenden Bruttolohns von Fr. 6Â796.60 (Urk. 2/10, Urk. 1/12). Da nach der ab 1. Januar 2009 geltenden besonderen Bedingung in Verbindung mit Art. 11.1.1 beziehungsweise Art. 11.1.3 AVB 2008 die KlÃ¤gerin im Fall des Zusammentreffens der Krankentaggelder mit Sozialversicherungsleistungen diese Leistungen bis zur HÃ¶he von 90 % des letzten vereinbarten Bruttolohns - das heisst Fr. 6Â116.95 - zu ergÃ¤nzen hat, kommt der Taggeldanspruch fÃ¼r diese Zeit auf Fr. 4Â233.85 (Fr. 6Â116.95 - Fr. 1Â883.10) zu stehen. Die RÃ¼ckforderung fÃ¼r die Periode vom 1. Januar bis 3. Februar 2009 entspricht der Differenz zum effektiv ausbezahlten Betrag von Fr. 5Â437.30, also Fr. 1Â203.45.</w:t>
      </w:r>
    </w:p>
    <w:p>
      <w:r>
        <w:t>5.4.3Â Â  Die Einwendung des Beklagen, ihm sei aus den nachzuzahlenden Rentenbetreffnissen von Fr. 25Â601.-- lediglich ein Restbetrag von Fr. 11Â200.35 ausbezahlt worden (Urk. 11/3, Urk. 32 S. 5), ist unerheblich, da die reduzierte Auszahlung gemÃ¤ss seinen eigenen Angaben (Urk. 32 S. 5) aus der Drittauszahlung eines Teiles der nachzuzahlenden Rentenbetreffnisse an das Sozialamt wegen der von diesem erbrachten Vorschussleistungen herrÃ¼hrt; im Ergebnis wurde der dem Beklagten zustehende Rentenbetrag also vollumfÃ¤nglich ausgezahlt.</w:t>
      </w:r>
    </w:p>
    <w:p>
      <w:r>
        <w:t>5.4.4Â Â  Soweit der Beklagte nachtrÃ¤glich die Berechnung der Taggelder bemÃ¤ngelt, (vgl. Urk. 21 S. 5, Urk. 26 S. 4, Urk. 32 S. 7), kann ihm ebenfalls nicht gefolgt werden. Er geht - soweit ersichtlich gleich wie die KlÃ¤gerin (vgl. Urk. 2/9-10) - davon aus, dass der Bemessung ein Bruttomonatslohn von Fr. 5Â480.-- zugrunde zu legen ist. Davon ausgehend hat die KlÃ¤gerin die Taggelder korrekt im Sinne der VersicherungsvertrÃ¤ge und von Art. 7.2.1-2 AVB 2004 und 2008 als 80 % des 365. Teils des durchschnittlichen versicherten Verdienstausfalls wÃ¤hrend eines Jahres (einschliesslich des 13. Monatslohns) errechnet (vgl. Urk. 2/9-10).</w:t>
      </w:r>
    </w:p>
    <w:p>
      <w:r>
        <w:t>5.4.5Â Â  Nach dem Gesagten belÃ¤uft sich die gesamte RÃ¼ckforderung der KlÃ¤gerin auf Fr. 19Â348.10 (Fr. 18Â144.65 + Fr. 1Â203.45).</w:t>
      </w:r>
    </w:p>
    <w:p>
      <w:r>
        <w:t>5.5.Â Â Â</w:t>
      </w:r>
    </w:p>
    <w:p>
      <w:r>
        <w:t>5.5.1Â Â  Der Schuldner einer Geldschuld hat, soweit nichts anderes vereinbart worden ist, von Gesetzes wegen einen Verzugszins von 5 % fÃ¼r das Jahr zu zahlen, sobald er mit der Zahlung der Schuld in Verzug gerÃ¤t (Art. 104 Abs. 1 OR). Die Verzugszinspflicht setzt einerseits die FÃ¤lligkeit der Forderung und andererseits die Mahnung des Schuldners voraus. FÃ¤lligkeit bedeutet, dass der GlÃ¤ubiger die Leistung einfordern und bei Nichtleistung einklagen darf. Die Mahnung ist die unmissverstÃ¤ndliche Aufforderung des GlÃ¤ubigers, die Leistung zu erbringen. Im Einzelfall muss durch Auslegung der Ãusserung ermittelt werden, ob eine Mahnung im rechtlichen Sinne vorliege. Prinzipiell gerÃ¤t der Schuldner unmittelbar mit dem Eintreffen der Mahnung in Verzug, ausser die ErfÃ¼llung erfordere besondere Vorbereitungshandlungen, welche die EinrÃ¤umung einer angemessenen NacherfÃ¼llungszeit rechtfertigen (Art. 100 Abs. 1 VVG i.V.m. Art. 102 Abs. 1 und 104 Abs. 1 OR; vgl. Gauch/Schluep/Schmid/Rey, Schweizerisches Obligationenrecht Allgemeiner Teil, Band 2, 8. Auflage, ZÃ¼rich 2003, N 2161 ff., 2948 ff. und 2958 ff.; Wiegand, in: Basler Kommentar zum Obligationenrecht I, 5. Auflage, Basel 2011, Art. 102 N 8).</w:t>
      </w:r>
    </w:p>
    <w:p>
      <w:r>
        <w:t>5.5.2Â Â  Die RÃ¼ckforderung aus dem Versicherungsvertrag entstand mit der Auszahlung der Invalidenrente. Gleichzeitig wurde sie fÃ¤llig. Gemahnt wurde die Forderung indes erst durch die Klageeingabe vom 16. Juni 2011 (Urk. 1; vgl. auch Urk. 2/13-21), welche dem Beklagten am 28. Juni 2011 zuging (Urk. 6). Da der Beklagte bei Erhalt der Klage bereits seit lÃ¤ngerer Zeit Ã¼ber die geltend gemachte RÃ¼ckforderung im Bild war, wie der Briefwechsel mit der KlÃ¤gerin zeigt (Urk. 2/13-21), ist die EinrÃ¤umung einer NacherfÃ¼llungszeit nicht gerechtfertigt. Die Verzugszinspflicht beginnt demgemÃ¤ss ab dem 28. Juni 2011 zu laufen. Der Zinssatz betrÃ¤gt 5 %.</w:t>
      </w:r>
    </w:p>
    <w:p>
      <w:r>
        <w:rPr>
          <w:b/>
        </w:rPr>
        <w:t>E. 6</w:t>
      </w:r>
    </w:p>
    <w:p>
      <w:r>
        <w:t>6.1Â Â Â Â  GemÃ¤ss Art. 114 lit. e ZPO ist das Verfahren kostenlos. Zu den Prozesskosten gehÃ¶ren die Gerichtskosten und die ParteientschÃ¤digung (Art. 95 Abs. 1 ZPO). Aus der Formulierung von Art. 114 ZPO ergibt sich, dass dessen lit. e nur die Gerichtskosten betrifft, nicht aber die ProzessentschÃ¤digung an die Gegenpartei (Urteil des Bundesgerichtes 4A_194/2010 vom 17. November 2010, E. 2.2.1, nicht publiziert in: BGE 137 III 47). Diese umfasst den Ersatz der notwendigen Auslagen, die Kosten einer berufsmÃ¤ssigen Vertretung sowie in begrÃ¼ndeten FÃ¤llen eine angemessene UmtriebsentschÃ¤digung, wenn eine Partei nicht berufsmÃ¤ssig vertreten ist (Art. 95 Abs. 3 ZPO).</w:t>
      </w:r>
    </w:p>
    <w:p>
      <w:r>
        <w:t>Â Â Â Â Â Â Â Â  Nach der zu altArt. 47 Abs. 3 des Versicherungsaufsichtsgesetzes (VAG) ergangenen, weiterhin gÃ¼ltigen hÃ¶chstrichterlichen Rechtsprechung hat der obsiegende VersicherungstrÃ¤ger Anspruch auf eine ParteientschÃ¤digung, falls er durch einen externen Anwalt vertreten ist (Urteil des Bundesgerichtes 4A_194/2010 vom 17. November 2010, E. 2.2.1, nicht publiziert in: BGE 137 III 47; Urteil des Bundesgerichts 5C.244/2000 vom 9. Januar 2001, E. 5 mit Hinweisen).</w:t>
      </w:r>
    </w:p>
    <w:p>
      <w:r>
        <w:t>6.2Â Â Â Â  Die Kantone sind zustÃ¤ndig, die Tarife fÃ¼r die Prozesskosten festzusetzen (Art. 96 ZPO). Das zÃ¼rcherische AusfÃ¼hrungsgesetz zur ZPO, das GOG, enthÃ¤lt keine fÃ¼r das Sozialversicherungsgericht anwendbare Tarifbestimmung (vgl. 7. Titel des GOG). Dasselbe gilt fÃ¼r die Verordnung Ã¼ber die AnwaltsgebÃ¼hren (LS 215.3). Diese regelt ausdrÃ¼cklich nur die ParteientschÃ¤digungen vor den SchlichtungsbehÃ¶rden, den Zivilgerichten und den StrafbehÃ¶rden. Die Bemessung der ParteientschÃ¤digung richtet sich somit nach Â§ 34 GSVGer sowie den Â§Â§ 1, 5 und 7 der Verordnung Ã¼ber die GebÃ¼hren, Kosten und EntschÃ¤digungen vor dem Sozialversicherungsgericht (GebV SVGer). GemÃ¤ss Â§ 34 Abs. 1 GSVGer ist die HÃ¶he der gerichtlich festzusetzenden EntschÃ¤digung nach der Bedeutung der Streitsache, der Schwierigkeit des Prozesses und dem Mass des Obsiegens, jedoch ohne RÃ¼cksicht auf den Streitwert festzusetzen.</w:t>
      </w:r>
    </w:p>
    <w:p>
      <w:r>
        <w:t>6.3Â Â Â Â  Der Beklagte erhÃ¤lt teilweise Recht, aber im VerhÃ¤ltnis zur eingeklagten Forderung nur in geringem Umfang und zudem aus RechtsgrÃ¼nden, welche sie nicht vorgebracht hat. Deshalb ist ihr keine ParteientschÃ¤digung zuzusprechen.</w:t>
      </w:r>
    </w:p>
    <w:p>
      <w:r>
        <w:t>Â Â Â Â Â Â Â Â</w:t>
      </w:r>
    </w:p>
    <w:p>
      <w:r>
        <w:t>Â Â Â Â Â Â Â Â</w:t>
      </w:r>
    </w:p>
    <w:p>
      <w:r>
        <w:t>Â Â Â Â Â Â Â Â  Der praktisch vollumfÃ¤nglich obsiegenden, durch einen externen Anwalt vertretenen KlÃ¤gerin steht unter BerÃ¼cksichtigung der obgenannten Kriterien eine ParteientschÃ¤digung von Fr. 2'700.-- (inklusive Barauslagen und Mehrwertsteuer) zu.</w:t>
      </w:r>
    </w:p>
    <w:p>
      <w:r>
        <w:t>Das Gericht erkennt:</w:t>
      </w:r>
    </w:p>
    <w:p>
      <w:r>
        <w:t>1.Â Â Â Â Â Â Â Â  In teilweiser Gutheissung der Klage wird der Beklagte verpflichtet, der KlÃ¤gerin Fr. 19'348.10 zuzÃ¼glich Verzugszins von 5 % ab 28. Juni 2011 zu bezahlen. Im Ãbrigen wird die Klage abgewiesen.</w:t>
      </w:r>
    </w:p>
    <w:p>
      <w:r>
        <w:t>2.Â Â Â Â Â Â Â Â  Das Verfahren ist kostenlos.</w:t>
      </w:r>
    </w:p>
    <w:p>
      <w:r>
        <w:t>3.Â Â Â Â Â Â Â Â  Der Beklagte wird verpflichtet, der KlÃ¤gerin eine ProzessentschÃ¤digung von Fr. 2700.-- (inkl. Barauslagen und MWSt) zu bezahlen.</w:t>
      </w:r>
    </w:p>
    <w:p>
      <w:r>
        <w:t>4.Â Â Â Â Â Â Â Â  Zustellung gegen Empfangsschein an:</w:t>
      </w:r>
    </w:p>
    <w:p>
      <w:r>
        <w:t>- Rechtsanwalt Dr. iur. Peter Philipp</w:t>
      </w:r>
    </w:p>
    <w:p>
      <w:r>
        <w:t>- RechtsanwÃ¤ltin Monika AbÃ¤cherli</w:t>
      </w:r>
    </w:p>
    <w:p>
      <w:r>
        <w:t>- EidgenÃ¶ssische Finanzmarktaufsicht FINMA</w:t>
      </w:r>
    </w:p>
    <w:p>
      <w:r>
        <w:t>5.Â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