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KK.2011.00007 vom 20. August 2012</w:t>
      </w:r>
    </w:p>
    <w:p>
      <w:r>
        <w:t>ZH Sozialversicherungsgericht, 2012-08-20, DE</w:t>
      </w:r>
    </w:p>
    <w:p>
      <w:r>
        <w:rPr>
          <w:b/>
        </w:rPr>
        <w:t xml:space="preserve">Quelle: </w:t>
      </w:r>
      <w:r>
        <w:t>https://mcp.opencaselaw.ch/entscheid/zh_sozialversicherungsgericht_KK.2011.00007</w:t>
      </w:r>
    </w:p>
    <w:p>
      <w:r>
        <w:t>FR: ZH_SOZIALVERSICHERUNGSGERICHT KK.2011.00007 du 20 août 2012</w:t>
      </w:r>
    </w:p>
    <w:p>
      <w:r>
        <w:t>IT: ZH_SOZIALVERSICHERUNGSGERICHT KK.2011.00007 del 20 agosto 2012</w:t>
      </w:r>
    </w:p>
    <w:p>
      <w:pPr>
        <w:pStyle w:val="Heading2"/>
      </w:pPr>
      <w:r>
        <w:t>Erwägungen</w:t>
      </w:r>
    </w:p>
    <w:p>
      <w:r>
        <w:rPr>
          <w:b/>
        </w:rPr>
        <w:t>E. 1</w:t>
      </w:r>
    </w:p>
    <w:p>
      <w:r>
        <w:t>X.___, geboren 1984, schloss per 1. Januar 2009 bei der CSS Versicherung AG verschiedene Zusatzversicherungen zur sozialen Krankenversicherung gemÃ¤ss Bundesgesetz Ã¼ber den Versicherungsvertrag (VVG, Police Nr. 706-37-290, Urk. 2/3) ab. Nach Erhalt eines Kostengutsprachegesuchs des Y.___ vom 14. Dezember 2009 (vgl. Sachverhalt in Urk. 1 S. 3) fÃ¼r einen stationÃ¤ren Aufenthalt in der halbprivaten Abteilung leitete die Versicherung AbklÃ¤rungen in die Wege (Urk. 2/4). Mit Schreiben vom 12. Februar 2010 teilte sie der Versicherten mit, dass aufgrund ihrer unwahrheitsgemÃ¤ssen Gesundheitsdeklaration respektive der Anzeigepflichtverletzung die abgeschlossenen Zusatzversicherungen rÃ¼ckwirkend per Versicherungsbeginn annulliert und bereits bezahlte Leistungen zurÃ¼ckgefordert oder mittels PrÃ¤mienguthaben verrechnet wÃ¼rden (Urk. 2/7). Mit der Leistungsabrechnung vom 19. Februar 2010 forderte sie aus der Spitalversicherung halbprivat erbrachte Leistungen in der HÃ¶he von Fr. 6'418.- zurÃ¼ck (Urk. 2/8). Am 19. Juni 2010 mahnte sie infolge einer Umbuchung und einer Gutschrift den auf Fr. 5'190.- reduzierten Betrag und stellte Fr. 5.- MahngebÃ¼hren in Rechnung (Urk. 2/9). Am 8. September 2010 leitete sie die Betreibung ein (Urk. 2/10).</w:t>
      </w:r>
    </w:p>
    <w:p>
      <w:r>
        <w:t>Gegen den Zahlungsbefehl des Betreibungsamtes Z.___ in der Betreibung Nr. 30475 vom 21. September 2010 Ã¼ber Fr. 5'190.50 zuzÃ¼glich Fr. 150.- Spesen und 5 % Zins ab 29. MÃ¤rz 2010 erhob die Versicherte fristgerecht Rechtsvorschlag (Urk. 2/1).</w:t>
      </w:r>
    </w:p>
    <w:p>
      <w:r>
        <w:rPr>
          <w:b/>
        </w:rPr>
        <w:t>E. 2</w:t>
      </w:r>
    </w:p>
    <w:p>
      <w:r>
        <w:t>In der Betreibung Nr. 30475 des Betreibungsamtes Z.___ sei die RechtsÃ¶ffnung zu erteilen.</w:t>
      </w:r>
    </w:p>
    <w:p>
      <w:r>
        <w:rPr>
          <w:b/>
        </w:rPr>
        <w:t>E. 3</w:t>
      </w:r>
    </w:p>
    <w:p>
      <w:r>
        <w:t>3.1Â Â Â Â  Wie die von der KlÃ¤gerin eingeholten Berichte des Y.___ zeigen, wurde die Beklagte nach dem Vertragsabschluss vom 12. September 2008 im Anschluss an eine notfallmÃ¤ssige Selbstvorstellung bei Koliken im Bereich der rechten Flanke vom 23. bis 25. Oktober 2008 hospitalisiert und einer extrakorporalen Stosswellentherapie der rechten Niere unterzogen. Die Diagnose im Austrittsbericht der Urologischen Klinik des Y.___ vom 30. Oktober 2008 lautete auf eine symptomatische Urolithiasis rechts mit/bei einem Verdacht auf einen Status nach spontanem Steinabgang rechts, einer bekannten Nephrolithiasis beidseits und einem Status nach 3-4 extrakorporalen StoÃwellenlithotripsien ( ESWL ) rechts (Spital A.___), letztmals 06/08 (Urk. 2/6).</w:t>
      </w:r>
    </w:p>
    <w:p>
      <w:r>
        <w:t>Â Â Â Â Â Â Â Â  Weitere Hospitalisationen im Zusammenhang der Nierensteinproblematik folgten vom 23. bis 26. November 2009 und vom 8. bis 11. Dezember 2009. Die Diagnosen im Austrittsbericht zur letzteren lauteten nunmehr wie folgt (Urk. 2/5 S. 1):</w:t>
      </w:r>
    </w:p>
    <w:p>
      <w:r>
        <w:t>Â Â Â Â Â Â Â Â  Pyelonephritis rechts mit/bei:</w:t>
      </w:r>
    </w:p>
    <w:p>
      <w:r>
        <w:t>- Rezividierender Nephrolithiasis beidseits (Erstereignis 2002)</w:t>
      </w:r>
    </w:p>
    <w:p>
      <w:r>
        <w:t>- Steinanalyse vom 24. November 2009; Whewellt 30 5, Weddellit 10 %, Apatit 60 %</w:t>
      </w:r>
    </w:p>
    <w:p>
      <w:r>
        <w:t>-Â Â Â Â Â Â Â  Rechts: Steinfrei bei/mit</w:t>
      </w:r>
    </w:p>
    <w:p>
      <w:r>
        <w:t>Â Â Â  - Status nach Ureteroskopie rechts mit Steinextraktion mit DormiÂ  Â Â Â Â Â Â Â Â  Â Â  akÃ¶rbchen und Pigtailkatheter Einlage am 24. November 2009</w:t>
      </w:r>
    </w:p>
    <w:p>
      <w:r>
        <w:t>Â Â Â  - Status nach wahrscheinlich spontanem Steinabgang 02/09 und 04/09</w:t>
      </w:r>
    </w:p>
    <w:p>
      <w:r>
        <w:t>Â Â Â Â  - Status nach 3-4x ESWL rechts (Spital A.___ 200 und 10/08)</w:t>
      </w:r>
    </w:p>
    <w:p>
      <w:r>
        <w:t>Â Â Â Â  - Status nach Doppel-J-Katheter Einlage (Spital A.___)</w:t>
      </w:r>
    </w:p>
    <w:p>
      <w:r>
        <w:t>Â Â Â Â Â Â Â Â Â Â Â Â  Â Â Â Â  - 08/09 Steinsprechstunde Nephrologie Y.___</w:t>
      </w:r>
    </w:p>
    <w:p>
      <w:r>
        <w:t>Â Â Â Â Â Â Â Â  -Â Â Â Â Â Â  Links: 1 mm Konkrement am Nierenunterpol (CT 09/09).</w:t>
      </w:r>
    </w:p>
    <w:p>
      <w:r>
        <w:t>Â Â Â Â Â Â Â Â  Im sodann bei der Urologie des Y.___ eingeholten Bericht vom 8. Februar 2010 wird zum erstmaligen Auftritt der Beschwerden ausgefÃ¼hrt, dass die Beklagte anamnestisch unter einer rezidivierenden Nephrolithiasis beidseits leide, bei Erstdiagnose im Jahr 2002. 2006 und 2008 seien verschiedene ESWL-Behandlungen im Spital A.___ durchgefÃ¼hrt worden. Wann der Beklagten die Diagnose erstmals mitgeteilt worden war sowie wann und in welcher Art die Beschwerden initial aufgetreten waren, konnten die zustÃ¤ndigen Ãrzte nicht beantworten (Urk. 2/4).</w:t>
      </w:r>
    </w:p>
    <w:p>
      <w:r>
        <w:t>3.2Â Â Â Â  GestÃ¼tzt auf die medizinischen Unterlagen des Y.___ ist mit dem Beweisgrad der Ã¼berwiegenden Wahrscheinlichkeit (fÃ¼r anspruchshindernde Tatsachen im Privatversicherungsrecht: Pra 1991 Nr. 230 E. 3b) als erstellt zu betrachten, dass die Beklagte an einer rezidivierenden Nephrolithiasis beidseits leidet, wobei die Erstdiagnose vom Jahr 2002 datiert. Aufgrund der anamnestischen Angaben in den Berichten des Y.___ und mangels Vorbringen oder Einwendungen der Beklagten ist ausserdem ohne weitere Beweiserhebungen (vgl. obige E. 1.3) davon auszugehen, dass sich die Beklagte vor Abschluss des Zusatzversicherungsvertrages mit der KlÃ¤gerin im September 2008 in den Jahren 2006 und 2008 mehreren ESWL-Behandlungen unterzogen hatte, mithin klarerweise zu diesem Zeitpunkt Kenntnis von ihrer rezidivierenden Nierensteinkrankheit hatte und angesichts der wiederholten BehandlungsbedÃ¼rftigkeit auch mit einem neuerlichen Beschwerdeschub rechnen musste. Auch wenn die Beklagte vor Abschluss des Versicherungsvertrages mÃ¶glicherweise Ã¼ber lÃ¤ngere Zeit symptomfrei war, musste sie, nachdem sie sich bereits 3-4 ESWL und einer Doppl-J-Katheter Einlage im Jahr 2007 (vgl. Urk. 2/5 S. 1) hatte unterziehen mÃ¼ssen, mit einem mÃ¶glichen Rezidiv rechnen.</w:t>
      </w:r>
    </w:p>
    <w:p>
      <w:r>
        <w:t>Â Â Â Â Â Â Â Â  Aus medizinischer Sicht ist demnach die Erkrankung der Beklagten als einheitliches Ereignis aufzufassen, wobei die Symptome nur intermittierend auftreten. Der rechtliche Krankheitsbegriff deckt sich nicht notwendig mit dem medizinischen (BGE 124 V 118 E. 3b). Das heisst aber nicht, dass er beliebig definierbar ist und auf medizinische Grundgegebenheiten keine RÃ¼cksicht zu nehmen hat. Dies wÃ¤re der Fall, wenn nur darauf abgestellt wÃ¼rde, ob jemand an gesundheitlichen Symptomen leidet, und unberÃ¼cksichtigt bliebe, dass sich die Gesundheit trotz Verschwindens der Symptome in einem schlechten Zustand befindet, wenn sich der Wiedereintritt der StÃ¶rung mit Wahrscheinlichkeit voraussehen lÃ¤sst, die Krankheit also trotz vorÃ¼bergehender Symptomfreiheit als Ursache kÃ¼nftiger StÃ¶rungen bestehen bleibt. Eine Differenzierung aufgrund mehr oder weniger langer symptomfreier Phasen fÃ¼hrte zu kaum lÃ¶sbaren Abgrenzungsschwierigkeiten. Diese Auffassung, wonach nicht das Auftreten von Symptomen, sondern deren medizinische Ursache fÃ¼r die Definition des Krankheitsbegriffs im Vordergrund steht, ist mit der Praxis des Bundesgerichts (BGE 124 V 118 E. 6b), aber auch mit der Regelung des Vorbehaltsrechts in der obligatorischen Krankenversicherung vereinbart. Art. 69 Abs. 1 KVG behandelt den RÃ¼ckfall bezÃ¼glich des Ausschlusses aus der freiwilligen Taggeldversicherung ausdrÃ¼cklich gleich wie eine bestehende Krankheit; schon Art. 5 Abs. 3 KVG kannte eine entsprechende Regelung, die im Ãbrigen nach der Botschaft des Bundesrates (BBl 1961 I 1440) in Anlehnung an Art. 9 VVG getroffen wurde, dem man auch damals das Verbot der Versicherung von RÃ¼ckfÃ¤llen entnahm.</w:t>
      </w:r>
    </w:p>
    <w:p>
      <w:r>
        <w:t>Â Â Â Â Â Â Â Â  Selbst wenn der Krankheitsschub der Beklagten im Oktober 2008 allenfalls nach einer relativ langen symptomfreien Phase auftrat, liegt aufgrund der verbindlichen Sachverhaltsdarstellung der behandelnden Ãrzte ein RÃ¼ckfall in eine vorbestehende Krankheit vor. Somit war das massgebende Ereignis mit dem vor Vertragsschluss rezidivierenden Nierensteinleiden der Beklagten bereits eingetreten und gemÃ¤ss Art. 9 VVG nicht mehr versicherbar. Die RÃ¼ckforderung der KlÃ¤gerin gestÃ¼tzt auf Art. 62 Abs. 2 OR erweist sich folglich als begrÃ¼ndet (Nef, in: VVG-Kommentar, hrsg. von Honsell/Vogt/Schnyder, Basel 2001, Art. 9 Rz 22). Eine Vertrauenshaftung der KlÃ¤gerin (vgl. dazu: Nef/Zedtwitz, in; VVG-Kommentar, hrsg. Von Honsell/Vogt/Schnyder/Grolimund, NachfÃ¼hrungsband, Art. 9 Rz 25) steht angesichts des Verhaltens der Beklagten bei Vertragsabschluss mit der offensichtlichen Anzeigepflichtverletzung und dem Hinweis auf die BestÃ¤tigung der Richtigkeit der Angaben und das RÃ¼cktrittsrecht der Versicherung unter "Wichtige Bestimmung VVG" im Antragsformular (Urk. 2/2 S. 2) ausser Diskussion.</w:t>
      </w:r>
    </w:p>
    <w:p>
      <w:r>
        <w:t>Â Â Â Â Â Â Â Â  Der RÃ¼ckforderungsbetrag von Fr. 5'190.50 setzt sich aus zwei Zahlungen aus der Spitalversicherung fÃ¼r Spitalbehandlungen vom 16. bis 18. September 2009 und vom 20. bis 26. November 2009 Ã¼ber insgesamt Fr. 6'418.- abzÃ¼glich einer Umbuchung vom 16. Juni 2010 von Fr. 818.60 und einer Gutschrift vom selben Tag von Fr. 408.90 - wohl beide im Zusammenhang mit der Verrechnung von PrÃ¤mien - zusammen. Angesichts des Verzichts der Beklagten auf Einreichung einer Klageantwort drÃ¤ngen sich keine weiteren AbklÃ¤rungen hierzu auf (vgl. obige E. 1.3) und die Beklagte ist zur Bezahlung desselben zu verpflichten.</w:t>
      </w:r>
    </w:p>
    <w:p>
      <w:r>
        <w:t>3.3Â Â Â Â  GemÃ¤ss Art. 6 AVB ist die KlÃ¤gerin berechtigt, 30 Tage nach Verfall der PrÃ¤mien, Kostenbeteiligungen oder anderer Zahlungen einen Verzugszins zu berechnen. Die KlÃ¤gerin forderte die Beklagte mit Leistungsabrechnung vom 19. Februar 2010 zur RÃ¼ckzahlung der aus der Spitalversicherung erbrachten Leistungen mit einer Zahlungsfrist bis 29. MÃ¤rz 2010 auf (Urk. 2/8). GestÃ¼tzt auf Art. 6 AVB in Verbindung mit Art. 100 VVG und Art. 104 Abs. 1 OR ist die Klage auch hinsichtlich des geforderten Zinses von 5 % seit 29. MÃ¤rz 2010 gutzuheissen.</w:t>
      </w:r>
    </w:p>
    <w:p>
      <w:r>
        <w:t>3.4Â Â Â Â  Was die geltend gemachten Mahnspesen von Fr. 150.- anbelangt, fehlt es den AVB an einer vertraglichen Regelung. Mit der Mahnung vom 19. Juni 2010 machte die KlÃ¤gerin lediglich MahngebÃ¼hren von Fr. 5.- geltend (Urk. 2/9). Weitere Mahnungen sind den Akten nicht zu entnehmen. Entsprechend sind die geltend gemachten Mahnkosten auf Fr. 5.- zu reduzieren.</w:t>
      </w:r>
    </w:p>
    <w:p>
      <w:r>
        <w:t>3.5Â Â Â Â  Nicht zu befinden ist Ã¼ber die eingeklagten Betreibungskosten fÃ¼r den Zahlungsbefehl von Fr. 70.--, da die Beklagte dafÃ¼r gestÃ¼tzt auf Art. 68 des Bundesgesetzes Ã¼ber Schuldbetreibung und Konkurs (SchKG) von Gesetzes wegen haftet.</w:t>
      </w:r>
    </w:p>
    <w:p>
      <w:r>
        <w:t>3.6Â Â Â Â  Nach dem Gesagten ist die Klage teilweise gutzuheissen und die Beklagte zu verpflichten, der KlÃ¤gerin Fr. 5'190.50 zuzÃ¼glich Zins von 5 % seit 29. MÃ¤rz 2010 sowie Mahnspesen von Fr. 5.- zu bezahlen. In diesem Umfang ist der Rechtsvorschlag in der Betreibung Nr. 30475 des Betreibungsamtes Z.___ (Zahlungsbefehl vom 21. September 2010) aufzuheben.</w:t>
      </w:r>
    </w:p>
    <w:p>
      <w:r>
        <w:rPr>
          <w:b/>
        </w:rPr>
        <w:t>E. 4</w:t>
      </w:r>
    </w:p>
    <w:p>
      <w:r>
        <w:t>4.1Â Â Â Â  GemÃ¤ss Â§ 33 Abs. 1 GSVGer ist das Verfahren kostenlos, soweit dies von andern Gesetzen so vorgeschrieben ist. Art. 114 lit. e ZPO lautet, dass bei Streitigkeiten aus Zusatzversicherungen zur sozialen Krankenversicherung nach dem Bundesgesetz Ã¼ber die Krankenversicherung (KVG) "keine Gerichtskosten gesprochen werden". DemgemÃ¤ss ist das Verfahren kostenlos.</w:t>
      </w:r>
    </w:p>
    <w:p>
      <w:r>
        <w:t>4.2Â Â Â Â  Nach Â§ 34 Abs. 2 GSVGer steht den VersicherungstrÃ¤gern und den Gemeinwesen der Anspruch auf eine ProzessentschÃ¤digung nur zu, soweit er von anderen Gesetzen nicht ausgeschlossen ist. Eine Partei hat dabei in der Regel nur Anspruch auf eine ProzessentschÃ¤digung, wenn sie anwaltlich vertreten ist, und einer unvertretenen Partei wird lediglich ausnahmsweise eine EntschÃ¤digung zugesprochen, nÃ¤mlich wenn sie sich Ã¼ber erhebliche Kosten ausweist oder einen sehr hohen, das Ã¼bliche Mass Ã¼bersteigenden Arbeitsaufwand gehabt hat (BGE 127 V 205 E. 4b, 110 V 72 E. 7).</w:t>
      </w:r>
    </w:p>
    <w:p>
      <w:r>
        <w:t>Â Â Â Â Â Â Â Â  Die KlÃ¤gerin beantragt die Zusprache einer ProzessentschÃ¤digung (Urk. 1 S. 2). Sie war aber weder anwaltlich vertreten, noch hat sie erhebliche Kosten ausgewiesen oder einen sehr hohen, das Ã¼bliche Mass Ã¼bersteigenden Arbeitsaufwand gehabt Es ist ihr daher keine ProzessentschÃ¤digung zuzusprechen.</w:t>
      </w:r>
    </w:p>
    <w:p>
      <w:r>
        <w:t>Die Einzelrichterin erkennt:</w:t>
      </w:r>
    </w:p>
    <w:p>
      <w:r>
        <w:t>1.Â Â Â Â Â Â Â Â  In teilweiser Gutheissung der Klage wird die Beklagte verpflichtet, der KlÃ¤gerin den Betrag von Fr. 5'190. 50 nebst Zins zu 5 % seit dem 29. MÃ¤rz 2010 zuzÃ¼glich Mahnkosten von Fr. 5.- zu bezahlen. In diesem Umfang wird der Rechtsvorschlag in der Betreibung Nr. 30475 des Betreibungsamtes Z.___ (Zahlungsbefehl vom 21. September 2010) aufgehoben. Im weitern Umfang wird die Klage abgewiesen.</w:t>
      </w:r>
    </w:p>
    <w:p>
      <w:r>
        <w:t>2.Â Â Â Â Â Â Â Â  Das Verfahren ist kostenlos.</w:t>
      </w:r>
    </w:p>
    <w:p>
      <w:r>
        <w:t>3.Â Â Â Â Â Â Â Â  Der KlÃ¤gerin wird keine ProzessentschÃ¤digung zugesprochen.</w:t>
      </w:r>
    </w:p>
    <w:p>
      <w:r>
        <w:t>4.Â Â Â Â Â Â Â Â  Zustellung gegen Empfangsschein an:</w:t>
      </w:r>
    </w:p>
    <w:p>
      <w:r>
        <w:t>- CSS Versicherung AG</w:t>
      </w:r>
    </w:p>
    <w:p>
      <w:r>
        <w:t>- X.___</w:t>
      </w:r>
    </w:p>
    <w:p>
      <w:r>
        <w:t>- EidgenÃ¶ssische Finanzmarktaufsicht FINMA</w:t>
      </w:r>
    </w:p>
    <w:p>
      <w:r>
        <w:t>5.Â Â Â Â Â Â Â Â  Gegen diesen Entscheid kann innert 30 Tagen seit der Zustellung beim Bundesgericht Beschwerde in Zivilsachen nach Art. 72 ff. in Verbindung mit Art. 90 ff. des Bundesgesetzes Ã¼ber das Bundesgericht (BGG) eingereicht werden.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