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KK.2010.00011 vom 21. Dezember 2012</w:t>
      </w:r>
    </w:p>
    <w:p>
      <w:r>
        <w:t>ZH Sozialversicherungsgericht, 2012-12-21, DE</w:t>
      </w:r>
    </w:p>
    <w:p>
      <w:r>
        <w:rPr>
          <w:b/>
        </w:rPr>
        <w:t xml:space="preserve">Quelle: </w:t>
      </w:r>
      <w:r>
        <w:t>https://mcp.opencaselaw.ch/entscheid/zh_sozialversicherungsgericht_KK.2010.00011</w:t>
      </w:r>
    </w:p>
    <w:p>
      <w:r>
        <w:t>FR: ZH_SOZIALVERSICHERUNGSGERICHT KK.2010.00011 du 21 décembre 2012</w:t>
      </w:r>
    </w:p>
    <w:p>
      <w:r>
        <w:t>IT: ZH_SOZIALVERSICHERUNGSGERICHT KK.2010.00011 del 21 dicembre 2012</w:t>
      </w:r>
    </w:p>
    <w:p>
      <w:pPr>
        <w:pStyle w:val="Heading2"/>
      </w:pPr>
      <w:r>
        <w:t>Erwägungen</w:t>
      </w:r>
    </w:p>
    <w:p>
      <w:r>
        <w:rPr>
          <w:b/>
        </w:rPr>
        <w:t>E. 4</w:t>
      </w:r>
    </w:p>
    <w:p>
      <w:r>
        <w:t>4.1Â Â Â Â  Der Anspruch des KlÃ¤gers bestimmt sich unstrittig nach Massgabe der allgemeinen Vertragsbestimmung in Art. 5 Ziff. 1 ZB (Ausgabe 2005). Diese lautet folgendermassen: ÂDas Taggeld wird auf dem Lohn, der fÃ¼r die PrÃ¤mienberechnung massgebend ist, berechnet (Artikel 14, Ziffer 1 der Allgemeinen Bedingungen). Es richtet sich in jedem Fall nach dem effektiven Erwerbsausfall. Als Grundlage fÃ¼r die Bemessung der Taggelder gilt der letzte vor Krankheitsbeginn bezogene AHV-Lohn. Dieser Lohn wird auf ein volles Jahr umgerechnet und durch 365 geteilt. Das so ermittelte Taggeld wird fÃ¼r jeden Kalendertag ausgerichtet.Â (Urk. 7/1/1.3 S. 1). Art. 14 Ziff. 1 lit. a AB bestimmt vorbehÃ¤ltlich anderer Vereinbarungen als massgebenden Lohn den AHV-Lohn (Urk. 7/1/1.2 S. 6). Solche anderen Vereinbarungen wurden nicht behauptet und sind weder den Vertragsunterlagen (Urk. 7/1/1.1-8) noch den Ã¼brigen Akten zu entnehmen.</w:t>
      </w:r>
    </w:p>
    <w:p>
      <w:r>
        <w:rPr>
          <w:b/>
        </w:rPr>
        <w:t>E. 4.2</w:t>
      </w:r>
    </w:p>
    <w:p>
      <w:r>
        <w:t>4.2.1Â Â  Nach dem Wortlaut von Art. 5 Ziff. 1 Satz 3 ZB ist als Grundlage fÃ¼r die Bemessung der Taggelder der letzte vor Krankheitsbeginn bezogene AHV-Lohn massgeblich, worunter nach dem allgemeinen Sprachgebrauch der Lohnbetrag zu verstehen ist, der tatsÃ¤chlich ausbezahlt wurde. Auch die Verweise in Art. 5 Ziff. 1 ZB und Art. 14 Ziff. 1 AB auf den AHV-Lohn legen grundsÃ¤tzlich nahe, dass bei der Taggeldberechnung der im Zusammenhang mit dem ArbeitsverhÃ¤ltnis tatsÃ¤chlich ausgerichtete Lohnbetrag beachtlich ist, auf den BeitrÃ¤ge nach Massgabe des Bundesgesetzes Ã¼ber die Alters- und Hinterlassenenversicherung (AHVG) an die Alters- und Hinterlassenenversicherung (AHV) geleistet wurden. Denn nach Art. 5 Abs. 2 Satz 1 AHVG gilt fÃ¼r die BeitrÃ¤ge an die AHV grundsÃ¤tzlich jedes Entgelt fÃ¼r in unselbstÃ¤ndiger Stellung auf bestimmte oder unbestimmte Zeit geleistete Arbeit als massgeblicher Lohn. RechtsprechungsgemÃ¤ss gehÃ¶ren dazu begrifflich sÃ¤mtliche BezÃ¼ge des Arbeitnehmers, die wirtschaftlich mit dem ArbeitsverhÃ¤ltnis zusammenhÃ¤ngen, gleichgÃ¼ltig, ob dieses VerhÃ¤ltnis fortbesteht oder gelÃ¶st worden ist und ob die Leistungen geschuldet werden oder freiwillig erfolgen. Als AHV-beitragspflichtiges Einkommen aus unselbstÃ¤ndiger ErwerbstÃ¤tigkeit gilt somit nicht nur unmittelbares Entgelt fÃ¼r geleistete Arbeit, sondern grundsÃ¤tzlich jede EntschÃ¤digung oder Zuwendung, die sonst wie aus dem ArbeitsverhÃ¤ltnis bezogen wird, soweit sie nicht kraft ausdrÃ¼cklicher gesetzlicher Vorschrift von der Beitragspflicht ausgenommen ist (BGE 128 V 176 E. 3c, 126 V 221 E. 4a, 124 V 100 E. 2, je mit Hinweisen). Erfasst werden grundsÃ¤tzlich alle EinkÃ¼nfte, die im Zusammenhang mit einem Arbeits- oder DienstverhÃ¤ltnis stehen und ohne dieses nicht geflossen wÃ¤ren. Umgekehrt unterliegen grundsÃ¤tzlich nur EinkÃ¼nfte, die tatsÃ¤chlich geflossen sind, der Beitragspflicht (AHI 2001 S. 221 f. E. 4a mit Hinweisen; zum Ganzen: BGE 131 V 444 E. 1.1).</w:t>
      </w:r>
    </w:p>
    <w:p>
      <w:r>
        <w:t>Â Â Â Â Â Â Â Â  AHV-beitragspflichtiges Einkommen stellen beim KlÃ¤ger demnach auch jene BetrÃ¤ge dar, die er nach den letzten beiden LohnerhÃ¶hungen ab Juli 2007 (von brutto Fr. 10Â464.-- auf Fr. 11Â727.80 pro Monat zuzÃ¼glich eines 13. Monatslohns von brutto Fr. 11Â095.90, Urk. 20/3.14.4-6) und ab Januar 2008 (von brutto Fr. 11Â727.80 pro Monat auf Fr. 17Â600.-- pro Monat, Urk. 20/3.14.7-8) und vor Eintritt der krankheitsbedingten ArbeitsunfÃ¤higkeit am 12. Juni 2008 von der E.___ bezogen hatte (im Juni 2008: brutto Fr. 11Â727.80, Urk. 20/3.14.11). Denn diesen (erhÃ¶hten) Lohn kann er zufolge des Ausgangs und der mittlerweile rechtskrÃ¤ftigen Erledigung des arbeitsrechtlichen Streits am Bezirksgericht G.___ (Urk. 14 S. 6) unabhÃ¤ngig vom Rechtsgrund nunmehr definitiv behalten. Dies nachdem die E.___ ihre dortige Widerklage gegen den KlÃ¤ger auf RÃ¼ckerstattung von Lohnzahlungen von Juli 2007 bis Juni 2008 von insgesamt netto Fr. 63Â275.55 (inklusive weitergeleitete Krankentaggelder von Fr. 8Â768.-- fÃ¼r die Zeit vom 12. bis 31. Juli 2008) zuzÃ¼glich 5 % Zins (Urk. 18/13 S. 2, S. 4 und S. 7 ff.) im Rahmen des gerichtlichen Vergleichs zurÃ¼ckgezogen hatte. Auch der KlÃ¤ger hat seine Klage gegen die E.___ auf weitere Lohnzahlungen fÃ¼r die Zeit vom Juni 2008 bis zur KÃ¼ndigung per Ende April 2009 in der HÃ¶he von insgesamt Fr. 79Â710.10 netto (inklusive FerienentschÃ¤digung von Fr. 43Â500.--; Urk. 1 S. 2 und S. 15 f.) vergleichsweise zurÃ¼ckgezogen (Urk. 14 S. 4). Aufgrund der Saldoklausel im gerichtlichen Vergleich (Urk. 14 S. 5) sind zwischen der E.___ und dem KlÃ¤ger keine Lohn(rÃ¼ck)forderungen mehr offen. Der letzte AHV-beitragspflichtige tatsÃ¤chlich ausbezahlte Lohn vor Eintritt der Krankheit war somit jener von Fr. 17Â600.-- fÃ¼r den Monat Mai 2008 (Urk. 20/3.14.7 S. 5).</w:t>
      </w:r>
    </w:p>
    <w:p>
      <w:r>
        <w:t>4.2.2Â Â  Der zweite Satz von Art. 5 Ziff. 1 ZB stellt jedoch klar, dass der effektive Erwerbsausfall fÃ¼r das Taggeld entscheidend ist. Dieser Satz bestimmt unmissverstÃ¤ndlich, dass das Taggeld nur jenen (AHV-beitragspflichtigen) Lohn ersetzen soll, der in die Zeit ab Krankheitseintritt fÃ¤llt. In diesem Sinn bestimmt auch Art. 2 AB, dass die Krankentaggeldversicherung nur die wirtschaftlichen Folgen, die auf ein versichertes Ereignis zurÃ¼ckzufÃ¼hren sind, deckt (Urk. 7/1/1.2 S. 2). Schliesslich ist die Kollektiv-Versicherung mangels anderer Vereinbarung ausschliesslich auf Personen ausgerichtet, die in einem arbeitsrechtlichen VerhÃ¤ltnis zum Versicherungsnehmer stehen, und geschuldet ist im Schadensfall 80 % des versicherten Lohnes (Art. 7 Ziff. 1 AB, Urk. 7/1/1.2 S. 3; Urk. 7/1/1.1 S. 1)</w:t>
      </w:r>
    </w:p>
    <w:p>
      <w:r>
        <w:t>Â Â Â Â Â Â Â Â  Die vorliegende Taggeldversicherung ist damit als Schadensversicherung (zugunsten Dritter) und nicht als Summenversicherung konzipiert (vgl. Graber, in: Kommentar zum Schweizerischen Privatrecht, Bundesgesetz Ã¼ber den Versicherungsvertrag, 2001, N 4 ff. zu Art. 96; Urteil des Bundesgerichtes 5C.106/2003 vom 7. November 2003 E. 4 a.E.), was grundsÃ¤tzlich auch von den Parteien anerkannt wird (Urk. 1 S. 11 f., Urk. 6 S. 4). Wesensmerkmal der Schadensversicherung ist das EntschÃ¤digungsprinzip. Danach ist die Leistungspflicht des Versicherers auf den wirtschaftlichen Schaden beschrÃ¤nkt, der dem Anspruchsberechtigten durch das schÃ¤digende Ereignis entstanden ist; der Anspruchsberechtigte soll aus dem Schadensereignis keinen wirtschaftlichen Vorteil ziehen kÃ¶nnen (Boll, in: Kommentar zum Schweizerischen Privatrecht, Bundesgesetz Ã¼ber den Versicherungsvertrag, 2001, N 2 zu Vorbemerkungen zu Art. 48). Eine Schadensversicherung liegt namentlich dann vor, wenn wie hier die Leistungen des Versicherers an den Einkommensausfall des Versicherten anknÃ¼pfen, nicht jedoch dann, wenn weder Leistungsgrund noch LeistungshÃ¶he vom Schaden abhÃ¤ngen (vgl. Graber, a.a.O., N 11 zu Art. 96).</w:t>
      </w:r>
    </w:p>
    <w:p>
      <w:r>
        <w:t>4.2.3Â Â  Im Gesamtzusammenhang erschliesst sich die Bedeutung von Art. 5 Ziff. 1 ZB daher ohne Weiteres dahingehend, dass der vor Krankheitsbeginn letztmals effektiv ausbezahlte AHV-beitragspflichtige Lohn fÃ¼r die Taggeldbestimmung massgeblich ist, soweit damit der ab Krankheitsbeginn eintretende effektive Erwerbsausfall (hier letztlich zu 80 %) abgedeckt wird. Dies bedeutet, dass bei Eintritt des Versicherungsfalles der Krankheit jenes letzte AHV-beitragspflichtige Einkommen (hier bis maximal Fr. 16Â666.65 pro Monat respektive Fr. 200Â000.-- pro Jahr zu 80 %) durch die Versicherung ersetzt werden soll, das der BegÃ¼nstigte mutmasslich weiterhin erzielt hÃ¤tte, wenn die Krankheit nicht eingetreten wÃ¤re.</w:t>
      </w:r>
    </w:p>
    <w:p>
      <w:r>
        <w:t>Â Â Â Â Â Â Â Â  Da sich die Bedeutung der Vertragsklausel im Gesamtzusammenhang ohne Weiteres ergibt, bleibt fÃ¼r die Anwendung der Unklarheitenregel, wie sie der KlÃ¤ger (eventualiter) anruft (Urk. 39 S. 3), von vornherein kein Raum (BGE 133 III 61 E. 2.2.2.3 mit Hinweisen). Im Ãbrigen ist diese Regelung auch sachgerecht. Denn damit wird ausgeschlossen, dass die Versicherung einen im Hinblick auf den Versicherungsfall missbrÃ¤uchlich oder kurz vor dem Eintritt des Versicherungsfalls irrtÃ¼mlich erhÃ¶ht ausbezahlten Lohn ersetzen muss. Andererseits ist damit auch die MÃ¶glichkeit genommen, dass Arbeitgeber und Arbeitnehmer zuhanden und zulasten der Versicherung missbrÃ¤uchlich kurz vor Leistungsbezug einen hÃ¶heren Lohn vereinbaren respektive deklarieren, als dem Arbeitnehmer tatsÃ¤chlich ausgerichtet wird.</w:t>
      </w:r>
    </w:p>
    <w:p>
      <w:r>
        <w:t>Â Â Â Â Â Â Â Â  Es ist hier somit weder allein entscheidend, was der KlÃ¤ger vorbringt, dass sich die TaggeldhÃ¶he nach dem zuletzt vor Krankheitsbeginn von ihm tatsÃ¤chlich bezogenen und der Beklagten gemeldeten Bruttolohn im Mai 2008 von Fr. 17Â600.-- (Urk. 20/3.14.7 S. 5) richtet, noch, was die Beklagte vorbringt, dass sich die TaggeldhÃ¶he nach dem arbeitsvertraglich geschuldeten Lohn bemisst. Beides kÃ¶nnen indes Indizien fÃ¼r den wie oben beschriebenen massgeblichen hypothetischen AHV-beitragspflichten Bruttolohn ab dem 12. Juni 2008 darstellen, der im Folgenden nach dem Beweismass der Ã¼berwiegenden Wahrscheinlichkeit zu ermitteln ist.</w:t>
      </w:r>
    </w:p>
    <w:p>
      <w:r>
        <w:rPr>
          <w:b/>
        </w:rPr>
        <w:t>E. 5</w:t>
      </w:r>
    </w:p>
    <w:p>
      <w:r>
        <w:t>5.1Â Â Â Â  Die LohnerhÃ¶hungen ab Juli 2007 (von brutto Fr. 10Â464.-- auf Fr. 11Â727.80 pro Monat zuzÃ¼glich eines 13. Monatslohns von brutto Fr. 11Â095.90 im November 2007, Urk. 20/3.14.4-6) und ab Januar 2008 (von brutto Fr. 11Â727.80 pro Monat auf Fr. 17Â600.-- pro Monat, Urk. 20/3.14.7-8) hatte der KlÃ¤ger, der damals als GeschÃ¤ftsfÃ¼hrer und einziger Verwaltungsrat fÃ¼r die E.___ tÃ¤tig war, unstrittig selbst auf diese BetrÃ¤ge angesetzt.</w:t>
      </w:r>
    </w:p>
    <w:p>
      <w:r>
        <w:t>Â Â Â Â Â Â Â Â  GemÃ¤ss der Aussage des KlÃ¤gers in der persÃ¶nlichen Befragung anlÃ¤sslich der Vergleichsverhandlung vom 21. September 2010 am Bezirksgericht G.___ informierte er den GeschÃ¤ftsfÃ¼hrer der C.___, O.___ (Urk. 30 S. 10), jeweils telefonisch Ã¼ber diese LohnerhÃ¶hungen. Die erste LohnerhÃ¶hung habe er diesem vor dem 1. Juli 2007 mitgeteilt. Er habe ihm gesagt, dass es sich um einen 13. Monatslohn handle. AnlÃ¤sslich der Generalversammlung der E.___ (vom 4. September 2007, Urk. 7/3/13.14) sei seine LohnerhÃ¶hung zwar nicht traktandiert und nicht besprochen worden. Auch sei die Rechnung fÃ¼r das Jahr 2006 und nicht jene fÃ¼r das Jahr 2007 abgenommen worden. Jedoch sei an dieser Generalversammlung auch Ã¼ber die Personalsituation des Jahres 2007, die allgemeine finanzielle Situation, die LÃ¶hne und den Fortbestand der E.___ gesprochen worden und die Zwischenrechnung des Jahres 2007 habe vorgelegen (Urk. 30 S. 2 ff.). BezÃ¼glich der zweiten LohnerhÃ¶hung sei es zutreffend, was sein Rechtsvertreter in der Klageschrift geschrieben habe (Urk. 18/2 S. 9), nÃ¤mlich, dass die neue Revisionsstelle ihm - dem KlÃ¤ger - erklÃ¤rt habe, dass es nicht gut aussehe, wenn er als Verwaltungsrat, GeschÃ¤ftsfÃ¼hrer und Auditor in Personalunion weniger verdiene, als ein halbtags angestellter Auditor. Auch steuerlich sehe dies eigenartig aus. Der Entscheid der Revisionsstelle sei der Muttergesellschaft telefonisch mitgeteilt, von O.___ zur Kenntnis genommen und stillschweigend akzeptiert worden. Dies sei nach der Revisionssitzung im Februar 2008 gewesen. O.___ habe ihm gegenÃ¼ber keine ausdrÃ¼ckliche Zustimmung zur LohnerhÃ¶hung geÃ¤ussert, aber diese auch nicht negiert (Urk. 30 S. 6 ff.).</w:t>
      </w:r>
    </w:p>
    <w:p>
      <w:r>
        <w:t>5.2Â Â Â Â  Bereits aus dieser persÃ¶nlichen Befragung des KlÃ¤gers geht hervor, dass keine explizite Zustimmung durch den GeschÃ¤ftsfÃ¼hrer O.___ der AlleinaktionÃ¤rin der E.___ zu den LohnerhÃ¶hungen erfolgt war. Dieser gab zudem im Rahmen der Zeugeneinvernahme am Bezirksgericht G.___ vom 21. September 2010 nachvollziehbar und widerspruchsfrei zu Protokoll, dass er die vom KlÃ¤ger immer wieder einmal verlangte LohnerhÃ¶hung stets unter Hinweis auf die verlustreichen GeschÃ¤ftsergebnisse zurÃ¼ckgewiesen habe (Urk. 30 S. 12, S. 15 und S. 23 f.). Die EinwÃ¤nde des KlÃ¤gers gegen die Zeugeneinvernahme von O.___ (Urk. 39 S. 5 ff.) vermÃ¶gen dessen Beweiswert fÃ¼r die hier massgeblichen Sachverhalte nicht in Zweifel zu ziehen.</w:t>
      </w:r>
    </w:p>
    <w:p>
      <w:r>
        <w:t>Â Â Â Â Â Â Â Â  Auch von Seiten der Generalversammlung der E.___ wurde keine solche Genehmigung erteilt. Dem Protokoll Ã¼ber die Generalversammlung (GV-Protokoll) vom 4. September 2007 ist nichts dergleichen zu entnehmen. DÃ©charge wurde lediglich fÃ¼r den GeschÃ¤ftsbericht bestehend aus dem Jahresbericht und der Jahresrechnung sowie dem Revisionsbericht erteilt und es wurde dort beschlossen, den Jahresverlust auf das neue GeschÃ¤ftsjahr 2007 vorzutragen (Urk. 7/3/13.14 S. 1 f.). Zwar ist dem GV-Protokoll nicht wÃ¶rtlich zu entnehmen, welches Jahr dieser GeschÃ¤fts- und Revisionsbericht betrifft. Dennoch ist daraus und aus der persÃ¶nlichen Befragung des KlÃ¤gers zu schliessen, dass es sich dabei - wie Ã¼blich - um die DÃ©charge fÃ¼r den GeschÃ¤ftsbericht des Vorjahres, mithin des Jahres 2006, handelte, zumal von einer Jahresrechnung und einem Jahresbericht die Rede war und nicht von einer Zwischenrechnung und einem Zwischenbericht. Weder der persÃ¶nlichen Befragung noch den Ã¼brigen Akten ist zu entnehmen, dass anlÃ¤sslich der Generalversammlung vom 4. September 2007 die LohnerhÃ¶hung respektive die HÃ¶he des Lohnes fÃ¼r den KlÃ¤ger ab Juli 2007 thematisiert, geschweige denn genehmigt worden wÃ¤re. Die blosse Besprechung des Budgets fÃ¼r das Jahr 2007 und 2008 anlÃ¤sslich der Generalversammlung, wie sie gemÃ¤ss dem GV-Protokoll ausgewiesen ist (Urk. 7/3/13.14 S. 3), genÃ¼gt dazu nicht. O.___, der an dieser Generalversammlung als Vertreter fÃ¼r die AlleinaktionÃ¤rin C.___ teilgenommen hatte (Urk. 7/3/13.14 S. 1), erklÃ¤rte zudem in der Zeugeneinvernahme am Bezirksgericht G.___ vom 21. September 2010, dass Ã¼ber die LohnerhÃ¶hung an der Generalversammlung nicht gesprochen worden sei, auch nicht innerhalb des Budgets (Urk. 30 S. 12 f.). Damit ist Ã¼berwiegend wahrscheinlich erstellt, dass auch keine stillschweigende nachtrÃ¤gliche Genehmigung der LohnerhÃ¶hung per Juli 2007 durch die Generalversammlung der E.___ erfolgt war, zumal die E.___ in den Jahren 2006 bis 2007 Verluste erwirtschaftet hatte (vgl. Managment-Letter vom 10. MÃ¤rz 2008, Urk. 20/1.4.12 S. 4; GV-Protokoll vom 4. September 2007, Urk. 20/1.42.10 S. 2).</w:t>
      </w:r>
    </w:p>
    <w:p>
      <w:r>
        <w:t>Â Â Â Â Â Â Â Â  Eine weitere, und zwar eine ausserordentliche Generalversammlung fand erst am 16. Juni 2008 statt, anlÃ¤sslich welcher der KlÃ¤ger als Verwaltungsrat abgesetzt und an welchem Tag ihm die KÃ¼ndigung als GeschÃ¤ftsfÃ¼hrer ausgesprochen wurde. Es wurden neue Verwaltungsratsmitglieder gewÃ¤hlt und ein neuer GeschÃ¤ftsfÃ¼hrer bestimmt (Urk. 18/2 S. 11, Urk. 18/13 S. 9, Urk. 7/3/13.6.5, Urk. 52 S. 2). O.___ erklÃ¤rte dazu in der Zeugeneinvernahme, sie - gemeint wohl die Verantwortlichen der C.___ - hÃ¤tten bereits Anfang 2008 beschlossen, den KlÃ¤ger als Verwaltungsrat und GeschÃ¤ftsfÃ¼hrer abzulÃ¶sen, was Mitte Juni 2008 umgesetzt worden sei. AnlÃ¤sslich dieser Generalversammlung habe der KlÃ¤ger offen gesagt, dass er sein Gehalt zweimal erhÃ¶ht habe. Davon habe er - O.___ - erstmals erfahren. Das habe ihm natÃ¼rlich Anlass dazu gegeben, dem nach- und auch dagegen anzugehen (Urk. 30 S. 14 f.). Eine Genehmigung der beiden LohnerhÃ¶hungen ab Juli 2007 und ab Januar 2008 wurde somit auch an der Generalversammlung vom 16. Juni 2008 weder ausdrÃ¼cklich noch stillschweigend erteilt.</w:t>
      </w:r>
    </w:p>
    <w:p>
      <w:r>
        <w:t>5.3Â Â Â Â</w:t>
      </w:r>
    </w:p>
    <w:p>
      <w:r>
        <w:t>5.3.1Â Â  Der Umstand, dass der KlÃ¤ger zur Zeit der LohnerhÃ¶hungen GeschÃ¤ftsfÃ¼hrer und einziger Verwaltungsrat der E.___ war, fÃ¼hrt nicht schon dazu, dass die LohnerhÃ¶hungen zulÃ¤ssig waren und rechtlich gÃ¼ltig zustande kamen. Denn mit einer LohnerhÃ¶hung hat der KlÃ¤ger eine Ãnderung des Arbeitsvertrags mit der E.___ bezÃ¼glich seines Lohnanspruchs angestrebt, bei der er gleichzeitig fÃ¼r beide Vertragsparteien, und zwar als einziger Verwaltungsrat und GeschÃ¤ftsfÃ¼hrer in Vertretung fÃ¼r die E.___ als Arbeitgeberin sowie in eigener Sache als Arbeitnehmer, handelte. Wie die Beklagte zutreffend vorbringt (Urk. 27 S. 5 ff.), handelte es sich dabei um ein InsichgeschÃ¤ft, das rechtsprechungsgemÃ¤ss grundsÃ¤tzlich unzulÃ¤ssig und nur unter strengen Voraussetzungen ausnahmsweise zulÃ¤ssig ist. Und zwar ist ein solches Selbstkontrahieren nach stÃ¤ndiger Rechtsprechung des Bundesgerichtes grundsÃ¤tzlich unzulÃ¤ssig, weil das Kontrahieren eines Vertreters mit sich selbst regelmÃ¤ssig zu Interessenkollisionen fÃ¼hrt. Selbstkontrahieren hat deshalb die UngÃ¼ltigkeit des betreffenden RechtsgeschÃ¤ftes zur Folge, es sei denn, die Gefahr einer Benachteiligung des Vertretenen sei nach der Natur des GeschÃ¤ftes ausgeschlossen oder der Vertretene habe den Vertreter zum Vertragsschluss mit sich selbst besonders ermÃ¤chtigt oder das GeschÃ¤ft nachtrÃ¤glich genehmigt. Dieselben Regeln gelten auch fÃ¼r die Doppelvertretung zweier Vertragsparteien durch ein und denselben Vertreter sowie die gesetzliche Vertretung juristischer Personen durch deren Organe. Auch in diesen FÃ¤llen bedarf es einer besonderen ErmÃ¤chtigung oder einer nachtrÃ¤glichen Genehmigung durch ein Ã¼ber- oder nebengeordnetes Organ, wenn die Gefahr einer Benachteiligung besteht (BGE 127 III 332 E. 2a, 126 III 361 E. 3a mit Hinweisen).</w:t>
      </w:r>
    </w:p>
    <w:p>
      <w:r>
        <w:t>Â Â Â Â Â Â Â Â  Am 1. Januar 2008 ist ausserdem Art. 718b OR in Kraft getreten, der unter dem Titel ÂVertrÃ¤ge zwischen der Gesellschaft und ihrem VertreterÂ statuiert, dass der Vertrag schriftlich abgefasst werden muss, wenn die Gesellschaft beim Ab-schluss eines Vertrages durch diejenige Person vertreten wird, mit der sie den Vertrag abschliesst. Dieses Erfordernis gilt nicht fÃ¼r VertrÃ¤ge des laufenden GeschÃ¤fts, bei denen die Leistung der Gesellschaft den Wert von 1Â000 Franken nicht Ã¼bersteigt. Nach zutreffender Lehrmeinung tritt dieses Schriftlichkeitserfordernis kumulativ zu den materiellen Voraussetzungen des Selbstkontrahierens hinzu (vgl. Watter/Roth Pellanda, in: Basler Kommentar, Obligationenrecht II, 4. Aufl., 2012, N 8 f. zu Art. 718b; Steininger, Interessenkonflikte des Verwaltungsrates, Diss. 2011, S. 104 f.; BÃ¶ckli, Schweizer Aktienrecht, 4. Aufl., 2009, N 605e zu Â§ 13). Die Rechtsfolge bei Nichtbeachtung dieser Formvorschrift wird in der Lehre uneinheitlich diskutiert, hauptsÃ¤chlich wird aber letztlich eine relative respektive heilbare Nichtigkeit (etwa mit [zu protokollierender] Genehmigung durch den Ã¼brigen Verwaltungsrat oder die Generalversammlung als Heilungshandlung) postuliert (vgl. Watter/Roth Pellanda, a.a.O., N 10 f. zu Art. 718b; Steininger, a.a.O, S. 105; BÃ¶ckli, a.a.O., N 605d zu Â§ 13).</w:t>
      </w:r>
    </w:p>
    <w:p>
      <w:r>
        <w:t>5.3.2Â Â  Hier sind die beiden LohnerhÃ¶hungen per Juli 2007 und per Januar 2008 bereits mangels materieller Anforderungen dieser InsichgeschÃ¤fte ungÃ¼ltig, dies mithin unabhÃ¤ngig vom Umstand, dass der KlÃ¤ger sich die zweite LohnerhÃ¶hung unstrittig ohne schriftlichen Vertrag auszahlen liess. Denn die Gefahr einer Benachteiligung der vertretenen E.___ kann naturgemÃ¤ss bei LohnerhÃ¶hungen nicht ausgeschlossen werden. Zudem wurden diese GeschÃ¤fte nicht nachtrÃ¤glich genehmigt, wie sich aus den AusfÃ¼hrungen aus ErwÃ¤gung 5.2 hiervor ergibt. Auch eine stillschweigende Ãnderung des Arbeitsvertrages, welche sich gemeinhin ergeben kann, wenn Ã¼ber lÃ¤ngere Zeit ein hÃ¶herer Lohn ausbezahlt wurde als vertraglich vereinbart worden war, und dies vom Arbeitgeber und vom Arbeitnehmer widerspruchslos hingenommen wurde (vgl. Rehbinder/StÃ¶ckli in: Berner Kommentar, Band VI, Einleitung und Kommentar zu den Art. 319-330b OR, 2010, N18 zu Art. 322), fÃ¤llt hier wegen der besonderen Vertretungskonstellation ausser Betracht. Schliesslich war der KlÃ¤ger von der E.___ (respektive - mangels eines weiteren Verwaltungsrates - von deren Generalversammlung als Ã¼bergeordnetes Organ) zu einer LohnÃ¤nderung auch nicht besonders ermÃ¤chtigt worden.</w:t>
      </w:r>
    </w:p>
    <w:p>
      <w:r>
        <w:t>5.3.3Â Â  Zwar sahen die Statuten der E.___ in Art. 24 Abs. 6 (in der bis zum 16. Juni 2008 gÃ¼ltig gewesenen Fassung) vor, dass der Verwaltungsrat die EntschÃ¤digung, auf welche die Mitglieder des Verwaltungsrats Anspruch haben, selbst festlegt (Urk. 7/3/13.6.4 S. 10). Diese Bestimmung geht jedoch von mehr als einem Mitglied des Verwaltungsrates aus und regelt nicht auch den Fall, in welchem der Verwaltungsrat nur aus einem einzigen Mitglied besteht. Sie ist damit nicht dazu geeignet, einen Ausnahmetatbestand zur grundsÃ¤tzlichen UnzulÃ¤ssigkeit eines InsichgeschÃ¤fts im Sinne einer besonderen ErmÃ¤chtigung fÃ¼r einen einzigen Verwaltungsrat zur Festlegung seiner eigenen EntschÃ¤digung - sei es im Rahmen eines AuftragsverhÃ¤ltnisses, sei es im Rahmen eines (allfÃ¤llig gemischten) Arbeitsvertrages - zu begrÃ¼nden (vgl. zur Theorienvielfalt der Qualifikation eines Verwaltungsratsmandats in Lehre und Rechtsprechung: MÃ¼ller, Verwaltungsrat als Arbeitnehmer, 2005, S. 40 ff.). Zudem war der KlÃ¤ger bereits vor seiner Wahl zum Verwaltungsrat, nÃ¤mlich seit Ende 2005/Anfang 2006, GeschÃ¤ftsfÃ¼hrer der E.___ und die LohnerhÃ¶hungen per Juli 2007 und Januar 2008 erfolgten weder im Hinblick auf die noch unmittelbar nach der Wahl des KlÃ¤gers als Verwaltungsrat im Juli 2006 (Urk. 52 S. 2 ff.). Es ist daher Ã¼berwiegend wahrscheinlich, dass die LohnerhÃ¶hungen in erster Linie im Zusammenhang mit der TÃ¤tigkeit als GeschÃ¤ftsfÃ¼hrer erfolgten. Die Statuten bildeten dazu in jedem Fall keine rechtsgenÃ¼gliche Grundlage.</w:t>
      </w:r>
    </w:p>
    <w:p>
      <w:r>
        <w:t>5.3.4Â Â  Unbedeutend ist sodann, ob die Revisionstelle der E.___, die J.___, dem KlÃ¤ger die zweite LohnerhÃ¶hung empfohlen hat oder nicht. Die Revisionsstelle hat ausschliesslich Kontrollfunktion und ist der UnabhÃ¤ngigkeit verpflichtet (vgl. Art. 28 der Statuten der E.___, Urk. 7/3/13.6.4, in Verbindung mit Art. 728 ff. OR). Sie wÃ¤re daher jedenfalls nicht befugt gewesen, die E.___ zu vertreten und eine LohnerhÃ¶hung mit dem GeschÃ¤ftsfÃ¼hrer respektive Verwaltungsrat fÃ¼r diesen zu vereinbaren.</w:t>
      </w:r>
    </w:p>
    <w:p>
      <w:r>
        <w:t>5.4Â Â Â Â</w:t>
      </w:r>
    </w:p>
    <w:p>
      <w:r>
        <w:t>5.4.1Â Â  Bei dieser Sach- und Rechtslage, bei der die vom KlÃ¤ger vorgenommenen LohnerhÃ¶hungen per Juli 2007 und Januar 2008 rechtlich ungÃ¼ltig waren, die E.___ (unter FÃ¼hrung der AlleinaktionÃ¤rin) den KlÃ¤ger anlÃ¤sslich der Generalversammlung vom 16. Juni 2008 auch aus wirtschaftlichen GrÃ¼nden von seinen Aufgaben entbunden hatte und die E.___ im arbeitsrechtlichen Prozess auch vergleichsweise keine weitere Lohnzahlung fÃ¼r die Zeit ab Eintritt der krankheitsbedingten ArbeitsunfÃ¤higkeit ab dem 12. Juni 2008 zu erbringen bereit war, ist Ã¼berwiegend wahrscheinlich davon auszugehen, dass der im Gesundheitsfall ab Juni 2008 weiterhin ausgerichtete AHV-beitragspflichtige Lohn jenem vor der ersten LohnerhÃ¶hung im Juli 2007 entsprochen hÃ¤tte.</w:t>
      </w:r>
    </w:p>
    <w:p>
      <w:r>
        <w:t>Â Â Â Â Â Â Â Â  Von Januar bis Juni 2007 wurde dem KlÃ¤ger gemÃ¤ss der Lohnabrechnung vom 23. Januar 2007 (Urk. 20/3.14.4) und der Lohnzusammenfassung des Jahres 2007 (Urk. 20/3.14.6) der AHV-beitragspflichtige Bruttomonatslohn von Fr. 10Â464.-- ausbezahlt. Von den zusÃ¤tzlich bezahlten fixen Spesen von Fr. 400.-- pro Monat wurden keine AHV-BeitrÃ¤ge abgezogen (vgl. Art. 9 Abs. 3 der Verordnung Ã¼ber die Alters- und Hinterlassenenversicherung [AHVV] in der bis Ende 2008 gÃ¼ltig gewesenen Fassung). Dies entspricht einem AHV-beitragspflichtigen Jahresgehalt von brutto Fr. 125Â568.--. Ob der arbeitsvertragliche Anspruch des KlÃ¤gers tatsÃ¤chlich diesem Betrag entsprach oder noch immer jenem AHV-beitragspflichtigen Jahresgehalt, welches im schriftlichen Arbeitsvertrag zwischen der Y.___ und dem KlÃ¤ger vom 26. August 2003 ehemals mit Fr. 125Â200.-- zuzÃ¼glich Pauschalspesen von Fr. 4Â800.-- pro Jahr festgelegt worden war (Urk. 20/3.14.1), kann offen bleiben. Denn der vor Juli 2007 und Ã¼berwiegend wahrscheinlich im Gesundheitsfall weiterhin (respektive wieder) ab Juni 2008 von der E.___ vergÃ¼tete und hier relevante Lohn Ã¼bersteigt jedenfalls nicht den Betrag von brutto Fr. 130Â000.--, welche die Beklagte ihrer Taggeldbemessung fÃ¼r die Zeit vom 12. Juli 2008 bis 11. Juni 2010 bereits zugrunde gelegt hat (Urk. 7/5/5-19). Eine Widerklage betreffend RÃ¼ckerstattung des entsprechenden Differenzbetrages zu der von ihr bereits ausgerichteten Krankentaggeldsumme hat die Beklagte nicht erhoben, sondern sich eine RÃ¼ckforderung lediglich vorbehalten (Urk. 29 S. 4, Urk. 44 S. 3), weshalb es damit sein Bewenden hat.</w:t>
      </w:r>
    </w:p>
    <w:p>
      <w:r>
        <w:t>5.4.2Â Â  Es ist somit festzuhalten, dass der KlÃ¤ger keinen Anspruch gegenÃ¼ber der Beklagten aus der Kollektiv-Krankentaggeldversicherung mit der E.___ hat, welcher den bereits geleisteten Betrag von insgesamt Fr. 199Â456.-- (vgl. ErwÃ¤gung 3.1 hiervor) Ã¼bersteigen wÃ¼rde. Von weiteren Beweismassnahmen sind keine anderen/neuen Erkenntnisse zu erwarten, weshalb davon abzusehen ist (antizipierte BeweiswÃ¼rdigung, vgl. BGE 128 III 22 E. 2d, 114 II 289 E. 2a).</w:t>
      </w:r>
    </w:p>
    <w:p>
      <w:r>
        <w:t>Â Â Â Â Â Â Â Â  Die Klage ist folglich abzuweisen.</w:t>
      </w:r>
    </w:p>
    <w:p>
      <w:r>
        <w:t>Das Gericht erkennt:</w:t>
      </w:r>
    </w:p>
    <w:p>
      <w:r>
        <w:t>1.Â Â Â Â Â Â Â Â  Die Klage wird abgewiesen.</w:t>
      </w:r>
    </w:p>
    <w:p>
      <w:r>
        <w:t>2.Â Â Â Â Â Â Â Â  Das Verfahren ist kostenlos.</w:t>
      </w:r>
    </w:p>
    <w:p>
      <w:r>
        <w:t>3.Â Â Â Â Â Â Â Â  Zustellung gegen Empfangsschein an:</w:t>
      </w:r>
    </w:p>
    <w:p>
      <w:r>
        <w:t>- Rechtsanwalt Dr. Daniel Richter unter Beilage einer Kopie von Urk. 52</w:t>
      </w:r>
    </w:p>
    <w:p>
      <w:r>
        <w:t>- Allianz Suisse Versicherungs-Gesellschaft unter Beilage einer Kopie von Urk. 52</w:t>
      </w:r>
    </w:p>
    <w:p>
      <w:r>
        <w:t>- EidgenÃ¶ssische Finanzmarktaufsicht FINMA</w:t>
      </w:r>
    </w:p>
    <w:p>
      <w:r>
        <w:t>4.Â Â Â Â Â Â Â Â  Gegen diesen Entscheid kann innert 30 Tagen seit der Zustellung beim Bundesgericht Beschwerde in Zivilsachen nach Art. 72 ff. in Verbindung mit Art. 90 ff. des Bundesgesetzes Ã¼ber das Bundesgericht (BGG) eingereicht werden. Die Frist steht wÃ¤hrend folgender Zeiten still: vom siebenten Tag vor Ostern bis und mit dem siebenten Tag nach Ostern, vom 15. Juli bis und mit 15. August sowie vom 18. Dezember bis und mit dem 2. Januar (Art. 46 BGG).</w:t>
      </w:r>
    </w:p>
    <w:p>
      <w:r>
        <w:t>Â Â Â Â Â Â Â Â Â Â  Die Beschwerdeschrift ist dem Bundesgericht, 1000 Lausanne 14,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