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KK.2010.00003 vom 31. Januar 2012</w:t>
      </w:r>
    </w:p>
    <w:p>
      <w:r>
        <w:t>ZH Sozialversicherungsgericht, 2012-01-31, DE</w:t>
      </w:r>
    </w:p>
    <w:p>
      <w:r>
        <w:rPr>
          <w:b/>
        </w:rPr>
        <w:t xml:space="preserve">Quelle: </w:t>
      </w:r>
      <w:r>
        <w:t>https://mcp.opencaselaw.ch/entscheid/zh_sozialversicherungsgericht_KK.2010.00003</w:t>
      </w:r>
    </w:p>
    <w:p>
      <w:r>
        <w:t>FR: ZH_SOZIALVERSICHERUNGSGERICHT KK.2010.00003 du 31 janvier 2012</w:t>
      </w:r>
    </w:p>
    <w:p>
      <w:r>
        <w:t>IT: ZH_SOZIALVERSICHERUNGSGERICHT KK.2010.00003 del 31 gennaio 2012</w:t>
      </w:r>
    </w:p>
    <w:p>
      <w:pPr>
        <w:pStyle w:val="Heading2"/>
      </w:pPr>
      <w:r>
        <w:t>Erwägungen</w:t>
      </w:r>
    </w:p>
    <w:p>
      <w:r>
        <w:rPr>
          <w:b/>
        </w:rPr>
        <w:t>E. 2</w:t>
      </w:r>
    </w:p>
    <w:p>
      <w:r>
        <w:t>2.1Â Â Â Â Â Â Â Â  Zwischen den Parteien unbestritten und aktenmÃ¤ssig erstellt ist, dass zwischen der Firma Y.___ GmbH und der Allianz ein auf den 21. Februar 2007</w:t>
      </w:r>
    </w:p>
    <w:p>
      <w:r>
        <w:t>datierter Vertrag Ã¼ber eine Kollektiv-Krankenversicherung fÃ¼r ein Krankentaggeld von 80 % des versicherten Lohns mit einer maximalen Leistungsdauer von 720 Tagen innerhalb 900 aufeinander folgender Tage und mit einer Wartefrist von 30 Tagen zustande gekommen ist. Versichert ist vertragsgemÃ¤ss das Personal des Restaurants Z.___, dessen Betreiberin die Y.___ GmbH ist und dessen GeschÃ¤ftsfÃ¼hrer und einziger Gesellschafter der KlÃ¤ger ist (Urk. 1 S. 4, Urk. 12 S. 2, Urk. 13/1, Urk. 13/3a-f). GestÃ¼tzt auf Art. 87 VVG ist der KlÃ¤ger deshalb unbestrittenermassen aktivlegitimiert.Â Â Â Â Â Â Â Â  Strittig und zu prÃ¼fen ist, ob der KlÃ¤ger aufgrund des abgeschlossenen Kollektiv-Krankenversicherungs-Vertrages vom 21. Februar 2007 Anspruch auf Krankentaggelder fÃ¼r die Zeitspanne vom 15. Januar 2007 bis 16. Dezember 2009 hat.</w:t>
      </w:r>
    </w:p>
    <w:p>
      <w:r>
        <w:t>2.2Â Â Â Â  Die Beklagte stellt sich auf den Standpunkt, der auf den 21. Februar 2007 datierte Versicherungsvertrag sei am 3. Juli 2007 rÃ¼ckwirkend per Vertragsbeginn aufgehoben worden, da die PrÃ¤mien fÃ¼r die Zeit vom 27. Januar bis 30. Juni 2007 trotz mehrerer Mahnungen mit Androhung der Verzugsfolgen nicht bezahlt worden seien. Der Y.___ GmbH sei mit Schreiben vom 3. Juli 2007 die Stornierung sÃ¤mtlicher PrÃ¤mien per 20. Februar 2007 und die Aufhebung des Vertrages mitgeteilt worden. Selbst wenn dies - wie vom KlÃ¤ger behauptet - nicht geschehen wÃ¤re, sei der Vertrag trotzdem aufgehoben worden, da dem entsprechenden Schreiben nur deklaratorischer Charakter zukomme. Unzutreffend sei sodann, dass der Versicherungsvertrag ab dem Zeitpunkt der nachtrÃ¤glichen PrÃ¤mienzahlung wieder wirksam geworden und der Versicherungsschutz ab dann wieder gewÃ¤hrleistet gewesen sei. Bei der nachtrÃ¤glichen Bezahlung der PrÃ¤mien fÃ¼r die Zeit vom 27. Januar bis 31. Dezember 2007 durch die Versicherungsnehmerin, verbunden mit der Bitte der sie vertretenden A.___ mit E-Mail vom 14. Dezember 2007, die Wiederinkraftsetzung des Vertrages zu veranlassen, handle es sich im besten Fall um einen Neuantrag, der zuerst habe angenommen werden mÃ¼ssen. Die Mitteilung der Wiederinkraftsetzung und damit die Annahme des Antrages sei erst mit Schreiben vom 20. Dezember 2007 erfolgt. Aus den medizinischen Akten ergebe sich, dass der KlÃ¤ger bereits spÃ¤testens ab November 2007 zu mindestens 20 % arbeitsunfÃ¤hig gewesen sei. Da bereits eingetretene Ereignisse gemÃ¤ss Art. 9 VVG nicht versichert werden kÃ¶nnten, habe die Erkrankung des KlÃ¤gers mit dem auf den 21. Dezember 2007 datierten Versicherungsvertrag nicht mehr versichert werden kÃ¶nnen. Im Ãbrigen bestehe sogar dann, wenn davon ausgegangen werde, dass der bestehende Vertrag wieder in Kraft gesetzt und nicht ein neuer Vertrag abgeschlossen worden sei, keine Versicherungsdeckung fÃ¼r die geltend gemachte ArbeitsunfÃ¤higkeit. GemÃ¤ss Art. 15 Ziffer 3 der Allgemeinen Bedingungen (AB) des Vertrags ruhe der Versicherungsschutz fÃ¼r KrankheitsfÃ¤lle, welche erst nach Ablauf der Mahnfrist zu einer ArbeitsunfÃ¤higkeit fÃ¼hrten. FÃ¼r RÃ¼ckfÃ¤lle bleibe dieser Deckungsausschluss bestehen. Unbestrittenermassen habe der Versicherungsschutz mit dem Eintritt der PrÃ¤mienverzugsfolgen am 26. April 2007 geruht. Da die Erkrankung, fÃ¼r welche Taggelder geltend gemacht wÃ¼rden, eindeutig nach dem 26. April und vor dem 13. Dezember 2007 erstmals zu einer teilweisen ArbeitsunfÃ¤higkeit gefÃ¼hrt habe, bestehe hierfÃ¼r und fÃ¼r allfÃ¤llige RÃ¼ckfÃ¤lle keine Versicherungsdeckung (Urk. 12, Urk. 20).</w:t>
      </w:r>
    </w:p>
    <w:p>
      <w:r>
        <w:t>2.3Â Â Â Â  Der KlÃ¤ger macht demgegenÃ¼ber geltend, die Y.___ GmbH habe die PrÃ¤mien fÃ¼r die Zeit vom 27. Januar bis 31. Dezember 2007 nach mehrmaliger Mahnung mit Postzahlung vom 13. Dezember 2007 beglichen. Die Police Nr. T46.1.165.530 sei daraufhin per 19. Dezember 2007 wieder in Kraft gesetzt worden. Es treffe nicht zu, dass die Beklagte die Police am 4. Juli 2007 aufgehoben habe; die Y.___ GmbH habe nie ein entsprechendes Schreiben erhalten. Dagegen sei in der Vertragsausfertigung vom 21. Dezember 2007 ausdrÃ¼cklich festgehalten worden, dass der Versicherungsvertrag ab 20. Februar 2007 gelte und die Versicherung erst am 1. Januar 2010 ablaufe. Gleichzeitig sei die PrÃ¤mienhÃ¶he fÃ¼r die Zeit vom 20. Februar 2007 bis 30. Juni 2008 genannt worden, was wohl nicht geschehen wÃ¤re, wenn die Beklagte damals einen neuen Versicherungsvertrag mit GÃ¼ltigkeit ab 19. oder 21. Dezember 2007 hÃ¤tte abschliessen wollen. Ferner hÃ¤tten die Vertragsdokumente vom 21. Dezember 2007 dieselbe Policenummer getragen wie diejenigen vom 21. Februar 2007. Von Bedeutung sei sodann, dass die Beklagte im Mahnschreiben vom 6. April 2007 an die Y.___ GmbH unter Hinweis auf Art. 21 Abs. 1 VVG angedroht habe, vom Vertrag zurÃ¼ckzutreten, wenn die rÃ¼ckstÃ¤ndige PrÃ¤mie nicht innert zweier Monate rechtlich eingefordert werde. Vor Ablauf der zweimonatigen Frist habe die Beklagte der Versicherungsnehmerin dann aber ein zweites Mahnschreiben geschickt mit der Androhung, sie werde die PrÃ¤mie auf dem Rechtsweg einfordern, wenn die Zahlung ausbleibe. Ein Hinweis auf ihre MÃ¶glichkeit, vom Vertrag im Sinne von Art. 21 Abs. 1 VVG zurÃ¼ckzutreten, habe in diesem Schreiben gefehlt. In der Folge habe die Beklagte mit Schreiben vom 4. Mai 2007 auch die PrÃ¤mie fÃ¼r die Periode vom 1. Juli bis 31. Dezember 2007 eingefordert. Mit diesem Verhalten habe sie ihre Absicht zum Ausdruck gebracht, trotz des PrÃ¤mienausstandes am Vertrag festhalten zu wollen. Aus dem Fax der Y.___ GmbH an die A.___n vom 13. Dezember 2007 ergebe sich sodann, dass die Y.___ GmbH der Beklagten die ausstehenden PrÃ¤mien fÃ¼r die Periode vom 27. Januar bis 31. Dezember 2007 im Betrag von Fr. 3'050.40 am 13. Dezember 2007 bezahlt habe. Die Beklagte habe die mittels Posteinzahlungsschein erfolgte Zahlung im Sinne von Art. 21 Abs. 2 VVG mit dem Schreiben vom 20. Dezember 2007 angenommen und den Versicherungsvertrag durch nachtrÃ¤gliche Genehmigung rÃ¼ckwirkend per 13. Dezember 2007 wieder in Kraft gesetzt. Es sei davon auszugehen, dass sich der Vertrag zuvor bis 13. Dezember 2007 in der Schwebe befunden habe. Die Haftung der Beklagten habe aufgrund der Posteinzahlung spÃ¤testens am 17. Dezember 2007 wieder aufgelebt. Er - der KlÃ¤ger - sei ab dem 17. Dezember 2007 wÃ¤hrend der ganzen Bezugsdauer von 720 beziehungsweise 690 Tagen zu 100 % arbeitsunfÃ¤hig geschrieben gewesen. Dementsprechend habe er Anspruch auf 690 Taggelder zu Fr. 164.98, was dem eingeklagten Betrag von Fr. 113'836.20 entspreche. Da der Vertragsabschluss vor dem erstmaligen Eintreten der psychischen Krankheit im Juli 2007 erfolgt sei, kÃ¶nne sich die Beklagte nicht auf das RÃ¼ckwÃ¤rtsversicherungsverbot gemÃ¤ss Art. 9 VVG berufen (Urk. 1, Urk. 17).</w:t>
      </w:r>
    </w:p>
    <w:p>
      <w:r>
        <w:rPr>
          <w:b/>
        </w:rPr>
        <w:t>E. 3</w:t>
      </w:r>
    </w:p>
    <w:p>
      <w:r>
        <w:t>3.1Â Â Â Â  Die strittigen Fragen, ob der Versicherungsvertrag vom 21. Februar 2007 aufgehoben worden ist und ob der Versicherungsschutz aufgrund der neuen, auf den 21. Dezember 2007 datierten Police bereits am 13. Dezember 2007 wieder aufgelebt hat, kÃ¶nnen fÃ¼r die Beurteilung des Anspruchs auf Taggeldleistungen offen bleiben, wie nachfolgend aufzuzeigen ist.</w:t>
      </w:r>
    </w:p>
    <w:p>
      <w:r>
        <w:t>3.2Â Â Â Â</w:t>
      </w:r>
    </w:p>
    <w:p>
      <w:r>
        <w:t>3.2.1Â Â Â Â Â Â Â Â  Entrichtet der Schuldner die PrÃ¤mie zur Verfallzeit oder wÃ¤hrend der im Vertrag eingerÃ¤umten Nachfrist nicht, so ist er nach Art. 20 Abs. 1 VVG unter Androhung der SÃ¤umnisfolgen auf seine Kosten schriftlich aufzufordern, binnen 14 Tagen, von der Absendung der Mahnung an gerechnet, Zahlung zu leisten. Bleibt die Mahnung ohne Erfolg, so ruht die Leistungspflicht des Versicherers gestÃ¼tzt auf Art. 20 Abs. 3 VVG vom Ablauf der Mahnfrist an. Nach der ergÃ¤nzenden Vorschrift in Art. 15 Ziff. 3 der Allgemeinen Bedingungen (AB) fÃ¼r die Kollektiv-Krankenversicherung, Ausgabe 2005, welche gemÃ¤ss Police vom 21. Februar 2007 anwendbar ist, ruht der Versicherungsschutz fÃ¼r Krankheiten, die erst nach Ablauf der Mahnfrist zu einer ArbeitsunfÃ¤higkeit fÃ¼hren. FÃ¼r RÃ¼ckfÃ¤lle bleibt dieser Deckungsausschluss bestehen (vgl. auch HasenbÃ¶hler, in: Honsell et al. [Hrsg], Kommentar zum schweizerischen Privatrecht, VVG, Basel 2001, Art. 20 VVG Rz 78 ff.).</w:t>
      </w:r>
    </w:p>
    <w:p>
      <w:r>
        <w:t>3.2.2Â Â Â Â Â Â Â Â  Unbestritten (Urk. 13/A25, Urk. 17 S. 3) und aktenmÃ¤ssig belegt ist, dass die Kollektiv-Krankenversicherung vom 21. Februar 2007 nach der - am 11. April 2007 der Post Ã¼bergebenen (Urk. 13/V3, Urk. 13/A25) - Mahnung vom 6. April 2007 mit der Aufforderung, die ausstehende PrÃ¤mie binnen 14 Tagen vom Versand des Mahnschreibens an zu erbringen, und unter Androhung der gesetzlichen Verzugsfolge, dass die Leistungspflicht des Versicherers vom Ablauf der Mahnfrist an ruhe (Urk. 13/V3; vgl. auch Urk. 13/V2, Urk. 13/V4 sowie HasenbÃ¶hler, a.a.O., Art. 20 VVG Rz 36 ff. sowie Rz 53-55), ab 26. April 2007 ruhte, und zwar - darin sind sich die Parteien ebenfalls zu Recht einig - mindestens bis zum 12. Dezember 2007, dem Tag vor der Veranlassung der nachtrÃ¤glichen PrÃ¤mienzahlung durch die Y.___ GmbH (Urk. 1 S. 8 f., Urk. 2/7).</w:t>
      </w:r>
    </w:p>
    <w:p>
      <w:r>
        <w:t>Â Â Â Â Â Â Â Â  Weiter ist aufgrund der vorliegenden medizinischen Berichte - insbesondere den Berichten der B.___ vom 26. MÃ¤rz 2008 (Urk. 13/20) sowie von Dr. med. C.___, Facharzt fÃ¼r Psychiatrie und Pychotherapie, vom 30. Oktober 2008 (Urk. 13/22) - unbestrittenermassen (Urk. 17 S. 6, Urk. 20 S. 4; vgl. auch Urk. 13/23) erstellt, dass die psychischen Probleme des Versicherten erstmals im Juli 2007 ein wesentliches Ausmass annahmen (Urk. 13/22 S. 2) und spÃ¤testens im November 2007 zu einer erheblichen ArbeitsunfÃ¤higkeit fÃ¼hrten (vgl. auch Urk. 21/1).</w:t>
      </w:r>
    </w:p>
    <w:p>
      <w:r>
        <w:t>Â Â Â Â Â Â Â Â  Damit ist aber ausgewiesen, dass die zur ArbeitsunfÃ¤higkeit fÃ¼hrende Erkrankung - geht man wie der KlÃ¤ger vom Fortbestehen des Versicherungsvertrags wÃ¤hrend diesem Zeitraum aus - wÃ¤hrend dem Ruhen des Versicherungsschutzes gemÃ¤ss Art. 20 Abs. 3 VVG und Art. 15 Ziff. 3 der AB eintrat und folglich nicht versichert war.</w:t>
      </w:r>
    </w:p>
    <w:p>
      <w:r>
        <w:t>3.3Â Â Â Â  Ginge man dagegen - der Argumentation der Beklagten folgend - von der AuflÃ¶sung des Versicherungsvertrags vom 21. Februar 2007 am 3. Juli 2007 und dem Zustandekommen eines neuen Vertrags vom 21. Dezember 2007 aus, wÃ¤re die den Versicherungsfall bildende ArbeitsunfÃ¤higkeit bereits vor dem Vertragsabschluss eingetreten - und zwar auch, wenn der Versicherungsschutz wie vom KlÃ¤ger geltend gemacht bereits am 13. Dezember 2007 gegolten hÃ¤tte. Da der Versicherungsvertrag gemÃ¤ss Art. 9 VVG nichtig ist, wenn im Zeitpunkt des Abschlusses die versicherte Gefahr bereits eingetreten war (vgl. auch HasenbÃ¶hler, a.a.O., Art. 9 VVG Rz 4 und 22 ff.), hÃ¤tte der KlÃ¤ger auch in dieser Konstellation keinen Anspruch auf die anbegehrten Krankentaggeldleistungen.</w:t>
      </w:r>
    </w:p>
    <w:p>
      <w:r>
        <w:t>3.4Â Â Â Â  So oder anders ergibt sich, dass die Allianz keine Leistungspflicht aus dem Kollektiv-Krankenversicherungsvertrag gemÃ¤ss den Policen vom 21. Februar sowie 21. Dezember 2007 trifft. Deshalb ist die Klage ohne Weiterungen abzuweisen.</w:t>
      </w:r>
    </w:p>
    <w:p>
      <w:r>
        <w:t>4.Â Â Â Â Â Â  Die EntschÃ¤digung des unentgeltlichen Rechtsvertreters wird gestÃ¼tzt auf Â§ 16 des Gesetzes Ã¼ber das Sozialversicherungsgericht (GSVGer) in Verbindung mit Â§ 8 und Â§ 9 der Verordnung Ã¼ber die GebÃ¼hren, Kosten und EntschÃ¤digungen vor dem Sozialversicherungsgericht bemessen, wobei ein unnÃ¶tiger oder geringfÃ¼giger Aufwand nicht ersetzt wird (Â§ 8 Abs. 1).</w:t>
      </w:r>
    </w:p>
    <w:p>
      <w:r>
        <w:t>Â Â Â Â Â Â Â Â  Der unentgeltliche Rechtsvertreter des KlÃ¤gers, Rechtsanwalt August Biedermann, machte in seiner Kostennote vom 29. September 2011 einen Zeitaufwand von 35,25 Stunden Ã  Fr. 250.-- sowie Barauslagen von Fr. 37.-- geltend (Urk. 23).</w:t>
      </w:r>
    </w:p>
    <w:p>
      <w:r>
        <w:t>Â Â Â Â Â Â Â Â  Der in der Honorarnote aufgefÃ¼hrte Zeitaufwand fÃ¼r den Briefwechsel mit der Allianz vor der Klageerhebung von total 7,75 Stunden kann nicht vergÃ¼tet werden. Der verbleibende Zeitaufwand von Fr. 26,5 Stunden ist ungewÃ¶hnlich hoch, wobei insbesondere der Aufwand fÃ¼r die Ausarbeitung der Klageschrift (16 Stunden) und der Replik (8 Stunden) den vom Gericht in vergleichbaren FÃ¤llen als gerechtfertigt anerkannten Rahmen bei Weitem sprengt. Die entsprechenden Positionen sind angemessen zu kÃ¼rzen. FÃ¼r die Ausarbeitung der Klageschrift und des Gesuchs um unentgeltliche Rechtsvertretung ist - unter BerÃ¼cksichtigung des Umfangs der Klage von 11 Seiten sowie der Tatsache, dass hiervon 3 Seiten praktisch unverÃ¤ndert aus dem Schreiben des Rechtsvertreters an die Allianz vom 22. Juli 2009 (Urk. 13/A23), welches vor der Klageerhebung verfasst wurde, Ã¼bernommen werden konnten - ein (grosszÃ¼giger) Aufwand von 9 Stunden anzuerkennen. FÃ¼r das Verfassen der Replikschrift, welche rund 6 Seiten Text mit juristischer Argumentation enthÃ¤lt, sind (ebenfalls grosszÃ¼gige) 6 Stunden anzurechnen. Zusammen mit dem praxisgemÃ¤ss anzuerkennenden Aufwand fÃ¼r die Instruktion des Klienten vor der Klage und nach Eingang des Urteils von je 1 Stunde sowie den in der Honorarnote aufgefÃ¼hrten Posten Schreiben an Klient vom 3. Februar 2010 (0,25 Stunden), Schreiben an das Sozialversicherungsgericht vom 8. Februar 2010 (0,25 Stunden) und Eingabe vom 29. September 2011 (1 Stunde; vgl. Urk. 23 S. 2) ergibt sich ein gerechtfertigter Aufwand von 18,5 Stunden. Beim gerichtsÃ¼blichen Stundensatz von Fr. 200.-- ergibt dies einen Honoraraufwand Fr. 3'700.--. Unter zusÃ¤tzlicher BerÃ¼cksichtigung der Barauslagen gemÃ¤ss Kostennote von Fr. 37.50 (Urk. 23 S. 2) und der Mehrwertsteuer von 7,6 % und 8 % auf den ab 1. Januar 2011 erbrachten Leistungen fÃ¼hrt dies zu einer angemessenen EntschÃ¤digung von Fr. 4'022.50.</w:t>
      </w:r>
    </w:p>
    <w:p>
      <w:r>
        <w:t>Â Â Â Â Â Â Â Â  Der KlÃ¤ger ist darauf hinzuweisen, dass er diesbezÃ¼glich laut Â§ 16 Abs. 4 GSVGer zur Nachzahlung verpflichtet ist, sobald er dazu in der Lage ist.</w:t>
      </w:r>
    </w:p>
    <w:p>
      <w:r>
        <w:t>Das Gericht erkennt:</w:t>
      </w:r>
    </w:p>
    <w:p>
      <w:r>
        <w:t>1.Â Â Â Â Â Â Â Â  Die Klage wird abgewiesen.</w:t>
      </w:r>
    </w:p>
    <w:p>
      <w:r>
        <w:t>2.Â Â Â Â Â Â Â Â  Das Verfahren ist kostenlos.</w:t>
      </w:r>
    </w:p>
    <w:p>
      <w:r>
        <w:t>3.Â Â Â Â Â Â Â Â  Der unentgeltliche Rechtsvertreter des KlÃ¤gers, FÃ¼rsprecher August Biedermann, Bischofszell, wird mit Fr. 4022.50.-- (inkl. Barauslagen und MWSt) aus der Gerichtskasse entschÃ¤digt. Der KlÃ¤ger wird auf Â§ 16 Abs. 4 GSVGer hingewiesen.</w:t>
      </w:r>
    </w:p>
    <w:p>
      <w:r>
        <w:t>4.Â Â Â Â Â Â Â Â Â Â  Zustellung gegen Empfangsschein an:</w:t>
      </w:r>
    </w:p>
    <w:p>
      <w:r>
        <w:t>- FÃ¼rsprecher August Biedermann</w:t>
      </w:r>
    </w:p>
    <w:p>
      <w:r>
        <w:t>- Allianz Suisse Versicherungs-Gesellschaft</w:t>
      </w:r>
    </w:p>
    <w:p>
      <w:r>
        <w:t>- EidgenÃ¶ssische Finanzmarktaufsicht FINMA</w:t>
      </w:r>
    </w:p>
    <w:p>
      <w:r>
        <w:t>sowie an:</w:t>
      </w:r>
    </w:p>
    <w:p>
      <w:r>
        <w:t>- Gerichtskasse</w:t>
      </w:r>
    </w:p>
    <w:p>
      <w:r>
        <w:t>5.Â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