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KK.2003.00018 vom 12. August 2004</w:t>
      </w:r>
    </w:p>
    <w:p>
      <w:r>
        <w:t>ZH Sozialversicherungsgericht, 2004-08-12, DE</w:t>
      </w:r>
    </w:p>
    <w:p>
      <w:r>
        <w:rPr>
          <w:b/>
        </w:rPr>
        <w:t xml:space="preserve">Quelle: </w:t>
      </w:r>
      <w:r>
        <w:t>https://mcp.opencaselaw.ch/entscheid/zh_sozialversicherungsgericht_KK.2003.00018</w:t>
      </w:r>
    </w:p>
    <w:p>
      <w:r>
        <w:t>FR: ZH_SOZIALVERSICHERUNGSGERICHT KK.2003.00018 du 12 août 2004</w:t>
      </w:r>
    </w:p>
    <w:p>
      <w:r>
        <w:t>IT: ZH_SOZIALVERSICHERUNGSGERICHT KK.2003.00018 del 12 agosto 2004</w:t>
      </w:r>
    </w:p>
    <w:p>
      <w:pPr>
        <w:pStyle w:val="Heading2"/>
      </w:pPr>
      <w:r>
        <w:t>Erwägungen</w:t>
      </w:r>
    </w:p>
    <w:p>
      <w:r>
        <w:rPr>
          <w:b/>
        </w:rPr>
        <w:t>E. 1</w:t>
      </w:r>
    </w:p>
    <w:p>
      <w:r>
        <w:t>1.1Â Â Â Â  Zusatzversicherungen zur sozialen Krankenversicherung nach dem Bundesgesetz Ã¼ber die Krankenversicherung (KVG) unterstehen nach Art. 12 Abs. 3 KVG dem Bundesgesetz Ã¼ber den Versicherungsvertrag (VVG). Streitigkeiten im Bereich dieser Zusatzversicherungen sind privatrechtlicher Natur; strittige AnsprÃ¼che darÃ¼ber sind in einem zivilprozessualen Verfahren geltend zu machen, das die Kantone unter Beachtung der VerfahrensgrundsÃ¤tze von Art. 47 Abs. 2 und 3 des Bundesgesetzes betreffend die Aufsicht Ã¼ber die privaten Versicherungseinrichtungen (VAG) zu regeln haben. Im Kanton ZÃ¼rich ist das Sozialversicherungsgericht zustÃ¤ndig fÃ¼r die Behandlung der Streitigkeiten aus Zusatzversicherungen zur sozialen Krankenversicherung (vgl. den Beschluss des Kantonsrates vom 27. November 1995 in Verbindung mit Â§ 4 des Gesetzes Ã¼ber das Sozialversicherungsgericht, GSVGer).</w:t>
      </w:r>
    </w:p>
    <w:p>
      <w:r>
        <w:t>1.2Â Â Â Â  GemÃ¤ss Ingress der massgebenden Allgemeinen Versicherungsbedingungen (AVB) fÃ¼r die Spitalversicherung halbprivat, Ausgabe Januar 1997 (nachfolgend AVB SV; Urk. 7/8), untersteht die zur Diskussion stehende Spitalversicherung dem VVG. Wie Art. 1 der AVB SV zeigt, sind die Leistungen in ErgÃ¤nzung zur obligatorischen Krankenpflegeversicherung (KVG) versichert. Sie ist daher als Zusatzversicherung zur sozialen Krankenversicherung zu qualifizieren. Das Sozialversicherungsgericht des Kantons ZÃ¼rich ist demnach fÃ¼r die Beurteilung der vorliegenden Klage sachlich zustÃ¤ndig. Die Ã¶rtliche ZustÃ¤ndigkeit ist ebenfalls gegeben, da Art. 20 der AVB SV fÃ¼r Klagen gegen den Versicherer neben dem gesetzlichen Gerichtsstand des Sitzes des Versicherers (Art. 3 Abs. 1 lit. b des Bundesgesetzes Ã¼ber den Gerichtsstand in Zivilsachen, GestG, gÃ¼ltig ab Anfang 2001) den Wahlgerichtsstand des Wohnortes der versicherten Person vorsieht.</w:t>
      </w:r>
    </w:p>
    <w:p>
      <w:r>
        <w:t>2.Â Â Â Â Â Â</w:t>
      </w:r>
    </w:p>
    <w:p>
      <w:r>
        <w:t>2.1Â Â Â Â  Obwohl im Verfahren vor dem Sozialversicherungsgericht auch im Klageverfahren betreffend Zusatzversicherungen die Offizialmaxime herrscht, ist das Klageverfahren im Zusatzversicherungsbereich nicht auf schlechthin alle in Frage kommenden LeistungsansprÃ¼che auszudehnen, sondern es gilt der zivilprozessuale Grundsatz, wonach ein Klagebegehren in der Regel so formuliert werden muss, dass es mit geringem Aufwand zum Urteilsspruch gemacht werden kann (nicht publiziertes Urteil des EidgenÃ¶ssischen Versicherungsgerichts in Sachen E. vom 9. Januar 2001, 5C.244/2000). Sodann darf das Gericht - anders als im Beschwerdeverfahren - nicht Ã¼ber die AntrÃ¤ge der Parteien hinausgehen und ist somit nicht befugt, einer Partei mehr zuzusprechen, als sie verlangt, oder ein ZugestÃ¤ndnis des Krankenversicherers zum Nachteil der versicherten Person abzuÃ¤ndern (vgl. Â§ 25 SVGer, der sich nur auf das Beschwerdeverfahren bezieht).</w:t>
      </w:r>
    </w:p>
    <w:p>
      <w:r>
        <w:t>Â Â Â Â Â Â Â Â  Streitig und zu prÃ¼fen ist, ob die Beklagte das Guthaben der KlÃ¤gerin an versicherten Tagen inskÃ¼nftig mit jeder Kostengutsprache auszuweisen hat. Â Â Â Â  Nicht mehr zu prÃ¼fen ist entgegen der Ansicht der Beklagten, wie die Formulierung in Art. 15.16 AVB SV zu verstehen ist, da das Klagebegehren mit Replik vom 28. Januar 2004 geÃ¤ndert wurde (Urk. 11 S. 2).</w:t>
      </w:r>
    </w:p>
    <w:p>
      <w:r>
        <w:t>2.2Â Â Â Â  Die KlÃ¤gerin machte geltend, dass Leistungserbringer und Patienten erwarten dÃ¼rfen, dass der Versicherer aus den GrundsÃ¤tzen Ã¼ber Treu und Glauben im GeschÃ¤ftsverkehr bei jeder Kostengutsprache auch das Guthaben an versicherten Tagen angebe, wenn dieses beschrÃ¤nkt sei. In anderen VersicherungsverhÃ¤ltnissen mit Rahmenfrist sei dies selbstverstÃ¤ndlich. Diese Obliegenheit ergebe sich aus dem Grundsatz von Treu und Glauben und habe sich in verschiedenen Rechtsbereichen niedergeschlagen: Ob eine Leistung dem Guthaben des Versicherten zu belasten sei, werde etwa der Privatversicherer bei jedem Begehren um Kostengutsprache prÃ¼fen. Er sei zweifellos besser in der Lage zu beurteilen, welcher Informationen er bedÃ¼rfe, wenn er einmal Kenntnis vom Eintritt eines bestimmten Schadens habe. Dass er die ErschÃ¶pfung der Deckung im Auge behalten mÃ¼sse, sei daher selbstverstÃ¤ndlich.</w:t>
      </w:r>
    </w:p>
    <w:p>
      <w:r>
        <w:t>Â Â Â Â Â Â Â Â  Dennoch sei die zentrale Frage - jene nach der Hinweispflicht - keine VVG-typische. GemÃ¤ss Art. 100 Abs. 1 VVG fÃ¤nden deshalb die Bestimmungen des Obligationenrechts (OR) Anwendung. Die Pflicht zur KontofÃ¼hrung bestehe in der Regel aufgrund eines AuftragsverhÃ¤ltnisses, so etwa beim KontokorrentverhÃ¤ltnis. Dabei habe der Beauftragte den Auftraggeber immer dann zu informieren, wenn dies zur Wahrung der Auftraggeberinteressen erforderlich erscheine. Selbst diese Obliegenheit leite sich nicht aus der Pflicht zur Rechenschaftsablegung nach Art. 400 OR, sondern aus der allgemeinen Treuepflicht ab. Die Forderung nach Rechenschaftsablegung beziehungsweise Rechnungslegung selbst verdiene nur dann keinen Rechtsschutz, wenn der Auftraggeber die erforderlichen Informationen bereits besitze oder sich leicht aus eigenen Unterlagen informieren kÃ¶nne, wÃ¤hrend der Beauftragte dazu grÃ¶ssere Umtriebe auf sich nehmen mÃ¼sse. Auch in der Sozialversicherung schliesse die Beratungspflicht des Versicherers (vgl. Art. 27 Abs. 2 des Bundesgesetzes Ã¼ber den Allgemeinen Teil des Sozialversicherungsrechts, ATSG) ein, die laufenden LeistungsfÃ¤lle zu kontrollieren, damit die leistungsbeanspruchende Person Kenntnis erhalte Ã¼ber eine bevorstehende Verminderung oder Aufhebung der Leistung (Urk. 1 S. 8 ff., Urk. 11 S. 3 ff.)</w:t>
      </w:r>
    </w:p>
    <w:p>
      <w:r>
        <w:t>Â Â Â Â Â Â Â Â  DemgegenÃ¼ber brachte die Beklagte vor, die KlÃ¤gerin mache eine nicht einklagbare Nebenpflicht geltend. Die BedÃ¼rfnisse des Spitals und der versicherten Person seien mit Abgabe einer Kostengutsprache genÃ¼gend befriedigt, vor allem im Zusammenhang mit der jederzeit gegebenen Auskunftspflicht der CSS im Einzelfall. Eine generelle Angabe der Resttage in allen FÃ¤llen und bei allen Versicherten wÃ¼rde einen unverhÃ¤ltnismÃ¤ssig grossen Verwaltungsaufwand der CSS nach sich ziehen, welcher via PrÃ¤mien wieder auf die Versicherten zurÃ¼ckfallen wÃ¼rde (Urk. 6 S. 6, Urk. 15 3 ff.).</w:t>
      </w:r>
    </w:p>
    <w:p>
      <w:r>
        <w:rPr>
          <w:b/>
        </w:rPr>
        <w:t>E. 3</w:t>
      </w:r>
    </w:p>
    <w:p>
      <w:r>
        <w:t>3.1Â Â Â Â  Mit dem Abschluss des Versicherungsvertrags entsteht einmal die Pflicht zur Erbringung von Hauptleistungen, nÃ¤mlich die Pflicht, die PrÃ¤mien zu bezahlen, auf der einen, und die Pflicht, im Versicherungsfall Versicherungsleistungen zu entrichten, auf der anderen Seite. Von den Hauptpflichten unterscheiden sich die Nebenverpflichtungen. Das VVG spricht mehrmals von Obliegenheiten, so z.B. in den Art. 29 und 45 VVG. Darunter versteht es wohl diese Nebenverpflichtungen. Obliegenheit ist die Pflicht einer Person, sich im Zusammenhang mit einem Versicherungsvertrag in einem bestimmten Sinn zu verhalten. Dieses Verhalten kann in einem Tun oder einem Unterlassen und auch in einem Dulden bestehen. Obliegenheiten werden vor allem dem Versicherungsnehmer Ã¼berbunden, denn er ist Vertragspartei. Daneben kann auch jener Anspruchsberechtigte, der nicht Vertragspartei ist, TrÃ¤ger von Obliegenheiten sein. Endlich treffen den Versicherer bestimmte Nebenpflichten, z.B. die Pflicht gemÃ¤ss Art. 11 VVG, dem Versicherungsnehmer eine Police auszuhÃ¤ndigen; die Pflicht nach Art. 93 VVG, dem Anspruchsberechtigten unter bestimmten Voraussetzungen den RÃ¼ckkaufswert der Lebensversicherung auszurechnen und mitzuteilen. Die Folgen der Verletzung von Obliegenheiten sind nicht fÃ¼r alle TatbestÃ¤nde einheitlich geregelt. Sie kÃ¶nnen vor allem im ganzen oder teilweisen Verlust des Versicherungsanspruches, dann auch im Recht des Versicherers, den Vertrag aufzulÃ¶sen, und endlich in der BegrÃ¼ndung einer Schadenersatzforderung des Versicherers bestehen (Maurer, Schweizerisches Privatversicherungsrecht, 3. Auflage, Bern 1994, S. 300 ff.).</w:t>
      </w:r>
    </w:p>
    <w:p>
      <w:r>
        <w:t>3.2Â Â Â Â  Nebenpflichten kÃ¶nnen im Gesetz selbst geregelt sein, auf ausdrÃ¼cklicher oder stillschweigender Vertragsabrede beruhen oder sich unmittelbar aus dem Gebot des Handelns nach Treu und Glauben ergeben (BGE 114 II 57 Erw. 6d/aa mit Hinweisen).</w:t>
      </w:r>
    </w:p>
    <w:p>
      <w:r>
        <w:rPr>
          <w:b/>
        </w:rPr>
        <w:t>E. 4</w:t>
      </w:r>
    </w:p>
    <w:p>
      <w:r>
        <w:t>4.1Â Â Â Â  Auf eine unmittelbar gesetzlich normierte Nebenpflicht beruft sich die KlÃ¤gerin zu Recht nicht, und auch an einer ausdrÃ¼cklichen vertraglichen Verpflichtung der Beklagten fehlt es. Es bleibt somit zu prÃ¼fen, ob die Beklagte nach Treu und Glauben verpflichtet ist, das Guthaben der KlÃ¤gerin an versicherten Tagen inskÃ¼nftig mit jeder Kostengutsprache auszuweisen.</w:t>
      </w:r>
    </w:p>
    <w:p>
      <w:r>
        <w:t>4.2Â Â Â Â  Die hauptsÃ¤chliche Leistungspflicht des Krankenversicherers besteht bei der Spitalversicherung halbprivat in der Bezahlung der Aufenthalts- und Behandlungskosten in einem Spital in der ganzen Schweiz (Art. 13.1 AVB SV). Spitaleintritte sind der Beklagten unverzÃ¼glich zu melden. Auf Antrag wird unverzÃ¼glich eine Kostengutsprache im Rahmen der versicherten Leistungen erteilt (Art. 14.2 AVB SV). Zu den Wirkungen der Kostengutsprache findet sich in den Allgemeinen Versicherungsbedingungen und im VVG keine Bestimmung. Da alle Leistungen aus der Spitalversicherung halbprivat in ErgÃ¤nzung zur obligatorischen Krankenpflegeversicherung (KVG) versichert sind (Art. 1 AVB SV), kann fÃ¼r die Beantwortung der Frage nach den Wirkungen einer Kostengutsprache die Rechtsprechung des EVG herangezogen werden.</w:t>
      </w:r>
    </w:p>
    <w:p>
      <w:r>
        <w:t>Â Â Â Â Â Â Â Â  Die einer Heilanstalt erteilte Kostengutsprache stellt keine Leistungszusicherung des Krankenversicherers gegenÃ¼ber dieser Heilanstalt dar. FÃ¼r die versicherte Person hat sie zur Folge, dass sie dadurch gegenÃ¼ber der Heilanstalt von der Sicherstellung der Spitalkosten und von Teilzahlungspflichten wÃ¤hrend der Hospitalisation befreit wird. Davon zu unterscheiden ist die Leistungszusicherung des Krankenversicherers gegenÃ¼ber der versicherten Person. Der Krankenversicherer kann sich der versicherten Person gegenÃ¼ber schon vor dem Spitaleintritt definitiv zur KostenÃ¼bernahme bereit erklÃ¤ren. Eine der Heilanstalt erteilte Kostengutsprache bedeutet indes noch keine Zusicherung der definitiven KostenÃ¼bernahme (BGE 111 V 31 E. 3 = Pra 74 Nr. 228 und BGE 112 V 194).</w:t>
      </w:r>
    </w:p>
    <w:p>
      <w:r>
        <w:t>Â Â Â Â Â Â Â Â  Der Krankenversicherer ist daher nur verpflichtet, die versicherte Person von der Sicherstellung der Spitalkosten und von Teilzahlungsverpflichtungen zu befreien. Aufgrund von Art. 2 ZGB ist er damit gehalten, nichts zu unternehmen, was die Sicherstellung gefÃ¤hrden beziehungsweise die versicherte Person benachteiligen kÃ¶nnte. Die Kosten fÃ¼r den Spitalaufenthalt wird der Krankenversicherer jedoch nur bei Vorliegen der weiteren Voraussetzungen, wie beispielsweise der SpitalbedÃ¼rftigkeit, Ã¼bernehmen. Somit hiesse die Ausweisung des Guthabens, den Leistungsinhalt des Krankenversicherers gestÃ¼tzt auf Art. 2 ZGB unzulÃ¤ssig auszudehnen. Mithin bedarf es in solchen FÃ¤llen einer eigentlichen Vertragsabrede, soll der Krankenversicherer verpflichtet werden, das Guthaben der KlÃ¤gerin an versicherten Tagen inskÃ¼nftig mit jeder Kostengutsprache auszuweisen. Allein aus Art. 2 ZGB lÃ¤sst sich diese Verpflichtung nicht begrÃ¼nden. Dies gilt um so mehr, als unbestrittenermassen eine jederzeitige Auskunftspflicht der Beklagten besteht. Die versicherte Person kann sich demnach jederzeit Ã¼ber den verbleibenden Leistungsanspruch informieren. Daher kann die KlÃ¤gerin gestÃ¼tzt auf die Beratungspflicht des Versicherers gemÃ¤ss Art. 27 Abs. 2 ATSG nichts zu ihren Gunsten ableiten. Entgegen der Auffassung der KlÃ¤gerin kann der vorliegende Sachverhalt auch nicht mit einem einfachen Auftrag nach Art. 394 ff. OR verglichen werden, denn der Leistungsinhalt eines Auftrages besteht nicht in der Bezahlung einer vereinbarten Leistung, sondern in der vertragsgemÃ¤ssen Besorgung der Ã¼bertragenen GeschÃ¤fte oder Dienste. Die Ã¼brigen Vorbringen der KlÃ¤gerin vermÃ¶gen an diesem Ergebnis nichts zu Ã¤ndern.</w:t>
      </w:r>
    </w:p>
    <w:p>
      <w:r>
        <w:t>4.3Â Â Â Â  Nach dem Gesagten ist die Klage abzuweisen.</w:t>
      </w:r>
    </w:p>
    <w:p>
      <w:r>
        <w:t>Das Gericht erkennt:</w:t>
      </w:r>
    </w:p>
    <w:p>
      <w:r>
        <w:t>1.Â Â Â Â Â Â Â Â  Die Klage wird abgewiesen.</w:t>
      </w:r>
    </w:p>
    <w:p>
      <w:r>
        <w:t>2.Â Â Â Â Â Â Â Â  Das Verfahren ist kostenlos.</w:t>
      </w:r>
    </w:p>
    <w:p>
      <w:r>
        <w:t>3.Â Â Â Â Â Â Â Â  Zustellung gegen Empfangsschein an:</w:t>
      </w:r>
    </w:p>
    <w:p>
      <w:r>
        <w:t>- Rechtsanwalt Dr. Jost Gross</w:t>
      </w:r>
    </w:p>
    <w:p>
      <w:r>
        <w:t>- CSS Kranken-Versicherung AG</w:t>
      </w:r>
    </w:p>
    <w:p>
      <w:r>
        <w:t>- Bundesamt fÃ¼r Privatversicherungen</w:t>
      </w:r>
    </w:p>
    <w:p>
      <w:r>
        <w:t>4.Â Â Â Â Â Â Â Â  Gegen diesen Entscheid kann innert 30 Tagen seit der Zustellung beim Sozialversicherungsgericht des Kantons ZÃ¼rich wegen Verletzung von Bundesrecht im Sinne von Art. 43 des Bundesgesetzes Ã¼ber die Organisation der Rechtspflege (OG) durch eine dem Art. 55 OG entsprechend Eingabe Berufung gemÃ¤ss Art. 50 OG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