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KA.2024.00002 vom 23. August 2024</w:t>
      </w:r>
    </w:p>
    <w:p>
      <w:r>
        <w:t>ZH Sozialversicherungsgericht, 2024-08-23, DE</w:t>
      </w:r>
    </w:p>
    <w:p>
      <w:r>
        <w:rPr>
          <w:b/>
        </w:rPr>
        <w:t xml:space="preserve">Quelle: </w:t>
      </w:r>
      <w:r>
        <w:t>https://mcp.opencaselaw.ch/entscheid/zh_sozialversicherungsgericht_KA.2024.00002</w:t>
      </w:r>
    </w:p>
    <w:p>
      <w:r>
        <w:t>FR: ZH_SOZIALVERSICHERUNGSGERICHT KA.2024.00002 du 23 août 2024</w:t>
      </w:r>
    </w:p>
    <w:p>
      <w:r>
        <w:t>IT: ZH_SOZIALVERSICHERUNGSGERICHT KA.2024.00002 del 23 agosto 2024</w:t>
      </w:r>
    </w:p>
    <w:p>
      <w:pPr>
        <w:pStyle w:val="Heading2"/>
      </w:pPr>
      <w:r>
        <w:t>Erwägungen</w:t>
      </w:r>
    </w:p>
    <w:p>
      <w:r>
        <w:rPr>
          <w:b/>
        </w:rPr>
        <w:t>E. 1</w:t>
      </w:r>
    </w:p>
    <w:p>
      <w:r>
        <w:t>( bzw. für das Kind D.___ ab 1. Juni 2023; Urk. 6/16-17) . Mit Rückforderungsverfügung vom gleichen Tag zeigte die Familienausgleichskasse de m Arbeitgeber an, dass sie die zu</w:t>
      </w:r>
    </w:p>
    <w:p>
      <w:r>
        <w:t>viel ausbezahlten Familienzulagen in Höhe von insgesamt Fr. 16’200. --</w:t>
      </w:r>
    </w:p>
    <w:p>
      <w:r>
        <w:t>verrechnen werde (Urk.</w:t>
      </w:r>
    </w:p>
    <w:p>
      <w:r>
        <w:t>6/18). Auf die se Rückfor derungsverfügung zurückkommend (vgl. Schreiben de s Arbeitgebe rs vom 14.</w:t>
      </w:r>
    </w:p>
    <w:p>
      <w:r>
        <w:t>Dezember 2023 ; Urk. 6/24 ) forderte die Familienausgleichskasse mit Verfü gung vom 15. Dezember 2023 die zu Unrecht ausgerichteten Zulagen in Höhe von Fr. 16'200. -- von X.___ zurück (Urk. 6/22) .</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Streitig und zu prüfen ist im vorliegenden Verfahren, ob die Beschwer de geg nerin dem Beschwerdeführer die Rückerstattung der für den Zeitraum vom 1.</w:t>
      </w:r>
    </w:p>
    <w:p>
      <w:r>
        <w:t>August 2021 bis 31. Oktober 2023 zurückgeforderten Zulagen zu Recht nicht erlass en bzw. ob sie den guten Glaube n Beschwerdeführers richtigerweise ver neint hat. Die Unrechtmässigkeit des Leistungsbezugs bzw. die Rückerstattungs pflicht als solche bilden vorliegend nicht Streitgegenstand .</w:t>
      </w:r>
    </w:p>
    <w:p>
      <w:r>
        <w:rPr>
          <w:b/>
        </w:rPr>
        <w:t>E. 2</w:t>
      </w:r>
    </w:p>
    <w:p>
      <w:r>
        <w:t>Dagegen erhob X.___ mit Eingabe vom 4. März 2024 Beschwerde mit den Anträgen, es sei der vollständige Erlass der Rückerstattung zu viel ausgerichteter Familienzulagen zu verfügen (1.), der Einspracheentscheid vom 6. Februar 2024 sei aufzuheben (2.), unter Kosten- und Entschädigungsfolgen zuzüglich MWST zulasten der SVA Zürich (3. ; Urk. 1 S. 2).</w:t>
      </w:r>
    </w:p>
    <w:p>
      <w:r>
        <w:t>Die Familienausgleichskasse stellte</w:t>
      </w:r>
    </w:p>
    <w:p>
      <w:r>
        <w:t>mit Vernehmlassung vom 21. März 2024 unter Hinweis auf d en angefochtenen Entscheid Antrag auf Abweisung der Beschwerde (Urk. 5), was X.___ mit Verfügung vom 22. März 2024 zur Kenntnis gebracht wurde (Urk. 7) . Die Einzelrichterin zieht in Erwägung: 1.</w:t>
      </w:r>
    </w:p>
    <w:p>
      <w:r>
        <w:rPr>
          <w:b/>
        </w:rPr>
        <w:t>E. 2.1</w:t>
      </w:r>
    </w:p>
    <w:p>
      <w:r>
        <w:t>Unrechtmässig bezogene Leistungen sind zurückzuerstatten (Art. 1 des Bundes gesetzes über die Familienzulagen und Finanzhilfen an Familienorganisationen [ FamZG ] in Verbindung mit Art. 25 Abs. 1 Satz 1 des Bundesgesetzes über den Allgemeinen Teil des Sozialversicherungsrechts [ATSG]). Wer Leistungen in gutem Glaube n empfangen hat, muss sie nicht zurückerstatten, wenn eine grosse Härte vorliegt (Art. 25 Abs. 1 Satz 2 ATSG; vgl. auch Art. 4 Abs. 1 der Verordnung über den Allgemeinen Teil des Sozialversicherungsrechts [ATSV]).</w:t>
      </w:r>
    </w:p>
    <w:p>
      <w:r>
        <w:rPr>
          <w:b/>
        </w:rPr>
        <w:t>E. 2.2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 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 zustand, Bildungsgrad) nicht ausgeblendet werden darf (BGE 138 V 218 E. 4 m.w.H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w:t>
      </w:r>
    </w:p>
    <w:p>
      <w:r>
        <w:t>Nach der Rechtsprechung ist bei der Frage nach der Gutgläubigkeit beim Leistungsbezug zu unterscheiden zwischen dem guten Glauben als fehlendem Unrechtsbewusst sein und der Frage, ob sich jemand unter den gegebenen Umständen auf den guten Glauben berufen kann oder ob er bei zumutbarer Aufmerksamkeit den bestehenden Rechtsmangel hätte erkennen sollen (Urteil des Bundesgerichts 8C_102/2020 vom 1. Mai 2020 E. 4.2 m.w.H .).</w:t>
      </w:r>
    </w:p>
    <w:p>
      <w:r>
        <w:rPr>
          <w:b/>
        </w:rPr>
        <w:t>E. 3.1</w:t>
      </w:r>
    </w:p>
    <w:p>
      <w:r>
        <w:t>Die Beschwerdegegnerin begründete den angefochtenen Einspracheentscheid im Wesentlichen damit, dass ihr der Wegzu g der Familie nach Israel nicht gemeldet worden sei. Da der Beschwerdeführer somit seine Sorgfalts-, Mitwirkungs- und Meldepflicht gegenüber der Familienausgleichskasse nicht erfüllt habe, sei die Erlassvoraussetzung des gute n Glaube n s nicht erfüllt . D ie grosse H ärte sei daher nicht mehr zu prüfen (Urk. 2).</w:t>
      </w:r>
    </w:p>
    <w:p>
      <w:r>
        <w:rPr>
          <w:b/>
        </w:rPr>
        <w:t>E. 3.2</w:t>
      </w:r>
    </w:p>
    <w:p>
      <w:r>
        <w:t>Der Beschwerdeführer bringt dagegen zur Hauptsache vor, dass er bis zum Erhalt der Verfügung vom 12. Oktober 2023 davon ausgegangen sei, dass er als Entric h ter von Sozialversicherungszahlungen in der Schweiz berechtigt sei, für seine im Ausland wohnhaften Kinder Z ulagen zu erhalten. Bei Wegzug seiner Familie aus der Schweiz habe er diese bei der Einwohnerkontrolle und bei den Steuerbehörden abgemeldet. Aufgrund dessen, dass er in Israel aufgewachsen sei, sei er noch nicht vollends mit dem Schweizer System vertraut , auch wenn er Schweizer Bürger sei . Er sei fälschlicherwei s e</w:t>
      </w:r>
    </w:p>
    <w:p>
      <w:r>
        <w:t>davon ausgegangen, dass zw i schen den Behörden ein Informationsaustausch bestehe. Zudem habe die Beschwerde g eg n e r i n die Mitteilungen und Verfügungen mit dem Hinweis auf die Melde pflicht stets direkt an seine n Arbeitgeber geschickt . Dieser habe sie leider nicht an ihn weitergeleitet. Die Hinweis e auf die Meldepflicht seien alsdann sehr offen formuliert, weshalb sie von der Arbeitgeberin falsch interpretiert worden seien (Urk. 1)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SlavikBachmann</w:t>
      </w:r>
    </w:p>
    <w:p>
      <w:r>
        <w:rPr>
          <w:b/>
        </w:rPr>
        <w:t>E. 4.1</w:t>
      </w:r>
    </w:p>
    <w:p>
      <w:r>
        <w:t>In tatsächlicher Hinsicht ist unbestritten , dass die Ehefrau des Beschwerdeführers mit den Kindern A.___ , B.___ und C.___</w:t>
      </w:r>
    </w:p>
    <w:p>
      <w:r>
        <w:t>per Ende Juli bzw. August 2021 nach Israel zog und sie jedenfalls im Zeitraum vom 1. August 2021 bis 31. Oktober 2023 dort wohnten , wo auch das Kind D.___ zur Welt kam . Unbestritten ist ferner , dass der Beschwerdeführer der Beschwerdegegnerin den Wegzug der Kinder nach Israel nicht gemeldet hat.</w:t>
      </w:r>
    </w:p>
    <w:p>
      <w:r>
        <w:rPr>
          <w:b/>
        </w:rPr>
        <w:t>E. 4.2</w:t>
      </w:r>
    </w:p>
    <w:p>
      <w:r>
        <w:t>Aufgrund der Akten bestehen keine Hinweise darauf, dass der Beschwerdeführer den Wegzug seiner Kinder nach Israel mit Absicht – um die Zulagen unrecht mässig weiterhin zu beziehen – nicht gemeldet hätte oder dass er sich der Unrecht mässigkeit des w eiteren Leistungsbezugs bewusst gewesen wäre. Von einer bös- oder mutwilligen Absicht geht denn auch die Beschwerdegegnerin nicht aus (Urk. 2 S. 2). Der gute Glaube hängt somit davon ab, ob das Verhalten des Beschwerdeführers im hier massgebenden Rechtssinne grobfahrlässig war oder es</w:t>
      </w:r>
    </w:p>
    <w:p>
      <w:r>
        <w:t>als nur leicht fahrlässig bezeichnet werden kann (E. 2.2 hiervor).</w:t>
      </w:r>
    </w:p>
    <w:p>
      <w:r>
        <w:rPr>
          <w:b/>
        </w:rPr>
        <w:t>E. 4.3</w:t>
      </w:r>
    </w:p>
    <w:p>
      <w:r>
        <w:t>Ob der Beschwerdeführer die Zulagenverfügungen (vom 13.</w:t>
      </w:r>
    </w:p>
    <w:p>
      <w:r>
        <w:t>Juni 2017 [Urk. 6/7] und vom 22. Januar 2020 [Urk. 6/11]) erhalten hat, auf deren Rückseite die Änderung des Wohnsitzes eines Kindes ausdrücklich ( und durchaus unmissver ständlich )</w:t>
      </w:r>
    </w:p>
    <w:p>
      <w:r>
        <w:t>als meldepflichtiger Tatbestand aufgeführt war ,</w:t>
      </w:r>
    </w:p>
    <w:p>
      <w:r>
        <w:t>ist den Akten nicht zu entnehmen, kann jedoch offenbleiben. Denn bereits aus dem Anmeldeformular (Urk. 6/1) bzw. den darin zu tätigenden Angaben erhellt e , dass die Frage, wo das Kind Wohnsitz hat, für den Zulagenanspruch von zentraler Bedeutung sein muss. So sind in den einleitenden Erläuterungen zu Ziffer 5 des Formulars die Begriffe Schweiz und Ausbildung fett gedruckt und w ird – wiederum in fetter Schrift – für Kinder mit Wohnsitz oder Ausbil d ung im Ausland auf ein ergänzendes Merkblatt für Kinder mit Wohnsitz im Ausland verwiesen. Alsdann war anzugeben, ob das Kind im gemeinsamen Haushalt mit dem Antragsteller lebt und verneinend en falls , wo genau (Strasse, Ort, Wohnsitzstaat) es lebt. Angesichts der mehrfachen Bezugnahme auf den Wohnort eines Kindes , der Gestaltung und Formulierung im Formular und des Hinweises auf das ergänzende</w:t>
      </w:r>
    </w:p>
    <w:p>
      <w:r>
        <w:t>Merkblatt für</w:t>
      </w:r>
    </w:p>
    <w:p>
      <w:r>
        <w:t>Kinder im Ausland musste daher auch für den Beschwerdeführer als Laien in sozialversicherungsrechtlichen Belangen erkennbar sein, dass der Wohnsitz eines Kindes im Ausland für den Zulagenanspruch von Bedeutung sein kann (vgl. dazu Urteil des Bundesgerichts 8C_79/2017 vo m 30. Juni 2017 E. 5.5) . Alsdann waren</w:t>
      </w:r>
    </w:p>
    <w:p>
      <w:r>
        <w:t>die genannten Hinweise nicht nur im ersten</w:t>
      </w:r>
    </w:p>
    <w:p>
      <w:r>
        <w:t>Anmeldeformular für das Kind A.___</w:t>
      </w:r>
    </w:p>
    <w:p>
      <w:r>
        <w:t>enthalten (vgl. Urk. 6/1) ,</w:t>
      </w:r>
    </w:p>
    <w:p>
      <w:r>
        <w:t>sondern wiederum auch in d en</w:t>
      </w:r>
    </w:p>
    <w:p>
      <w:r>
        <w:t>später verwendeten</w:t>
      </w:r>
    </w:p>
    <w:p>
      <w:r>
        <w:t>Formularen aufgeführt , mit welchen der Beschwerdeführer je um Ausrichtung von Kinderzulagen</w:t>
      </w:r>
    </w:p>
    <w:p>
      <w:r>
        <w:t>für die Kinder B.___ und C.___</w:t>
      </w:r>
    </w:p>
    <w:p>
      <w:r>
        <w:t>ersuchte</w:t>
      </w:r>
    </w:p>
    <w:p>
      <w:r>
        <w:t>( vom 4. Mai 2017 für das Kind B.___ , Urk.</w:t>
      </w:r>
    </w:p>
    <w:p>
      <w:r>
        <w:t>6/3 /2 und vom 16. Dezember 2019 für das Kind C.___ Urk. 6/8 /2 ) . Auch hatte sich der Beschwerdeführer bei jeder Anmeldung/ Ä nde rungsmel d ung unterschriftlich neu verpflichtet, jede Veränderung unverzüglich zu melden (Urk.</w:t>
      </w:r>
    </w:p>
    <w:p>
      <w:r>
        <w:t>6/1/4 und Urk. 6 /8/4) bz w . unaufgefordert alle Änderungen der gegenwärtigen Verhältnisse der SVA Zürich sofort zu melden (Urk. 6/3/2) . Vor diesem Hintergrund hätte es ihm bei der ihm zumutbare n Aufmerksamkeit auch ohne expliz i te n</w:t>
      </w:r>
    </w:p>
    <w:p>
      <w:r>
        <w:t>Hinweis darauf, dass der</w:t>
      </w:r>
    </w:p>
    <w:p>
      <w:r>
        <w:t>Wegzug</w:t>
      </w:r>
    </w:p>
    <w:p>
      <w:r>
        <w:t>eines Kindes ins Ausland</w:t>
      </w:r>
    </w:p>
    <w:p>
      <w:r>
        <w:t>einen meldepflichtige n Tatbestand darstellt, einleuchten müssen , dass der W e gzu g der Kinder nach Israel –</w:t>
      </w:r>
    </w:p>
    <w:p>
      <w:r>
        <w:t>zweifel s ohne eine erhebli c he Veränderung in den Verhält nissen</w:t>
      </w:r>
    </w:p>
    <w:p>
      <w:r>
        <w:t>–</w:t>
      </w:r>
    </w:p>
    <w:p>
      <w:r>
        <w:t>Auswirkungen auf den Zulagenanspruch haben kann . Indem der Beschwerde führer diese Veränderung nicht anzeigte und</w:t>
      </w:r>
    </w:p>
    <w:p>
      <w:r>
        <w:t>er es auch unterliess,</w:t>
      </w:r>
    </w:p>
    <w:p>
      <w:r>
        <w:t>sich bei der Beschwerdeführerin zumindest bezüglich der Auswirkungen</w:t>
      </w:r>
    </w:p>
    <w:p>
      <w:r>
        <w:t>auf den Zulagenanspruch zu erkundigen ,</w:t>
      </w:r>
    </w:p>
    <w:p>
      <w:r>
        <w:t>l iegt eine Pflichtwidrigkeit vor, die mit Blick auf die</w:t>
      </w:r>
    </w:p>
    <w:p>
      <w:r>
        <w:t>höchstrichterliche Rechtsprechung (vgl. dazu wiederum etwa Urteil des Bundesgerichts 8C_79/2017 vom 30. Juni 2017 E. 5.5) nic h t mehr als leicht bezeichnet werden kann.</w:t>
      </w:r>
    </w:p>
    <w:p>
      <w:r>
        <w:t>Insbesondere durfte der Beschwerdeführer bei Anwen dung des ihm zumutbaren Mindestmass es an Aufmerksamkeit angesichts der wiederholten Bezugnahme auf den Wohnort der Kinder in den Formularen nicht ohne weiteres davon ausgehen, dass selbst bei Aufenthalt der Kinder im Ausland unverändert Anspruch bestand.</w:t>
      </w:r>
    </w:p>
    <w:p>
      <w:r>
        <w:t>Unter dem Aspekt der z umutbaren Aufmerksamkeit führt alsdann zu keinem anderen Ergebnis, d a ss der Beschwerdeführer seine Kinder</w:t>
      </w:r>
    </w:p>
    <w:p>
      <w:r>
        <w:t>bei der Einwoh nerkontrolle und bei der Steuerbehörde abgemeldet hat . So liegt auf der Hand und war darüber</w:t>
      </w:r>
    </w:p>
    <w:p>
      <w:r>
        <w:t>hinaus jedenfalls i n dem von ihm unterzeichneten Formular Änderungsmeldung (Urk.</w:t>
      </w:r>
    </w:p>
    <w:p>
      <w:r>
        <w:t>6/3/2) explizit angeführt, dass jede Änderung der gegenwärtige n Verhältnisse der SVA Zürich</w:t>
      </w:r>
    </w:p>
    <w:p>
      <w:r>
        <w:t>( als für die Zulagen zuständige Behörde )</w:t>
      </w:r>
    </w:p>
    <w:p>
      <w:r>
        <w:t>anzuzeigen war (vgl. in diesem Sinne auch Urteil des Bundesgerichts 9C_181/2017 vom 6. Juni E.</w:t>
      </w:r>
    </w:p>
    <w:p>
      <w:r>
        <w:t>4.1). Daher und da im Ü brigen nach einem allge meinen Grundsatz niemand aus seiner Rechtsunkenntnis Vorteile für sich abzuleiten vermag ( vgl. statt vieler B G E 124 V 220 E. 2b/ aa ) , gereicht es dem Beschwerdeführer auch nicht zur Entlastung, wenn er angibt, er sei</w:t>
      </w:r>
    </w:p>
    <w:p>
      <w:r>
        <w:t>fälsch licher weise davon ausgegangen, dass zwischen den Behörden ein Informati o nsaus tausch besteh t . Di es</w:t>
      </w:r>
    </w:p>
    <w:p>
      <w:r>
        <w:t>könnte</w:t>
      </w:r>
    </w:p>
    <w:p>
      <w:r>
        <w:t>gegenteils darauf hin deuten , dass dem Beschwerde führer möglicherweise bewusst war, dass es sich bei de n Behörde n , bei welcher er die Abmeldung vornahm, nicht um die für die Familienzulagen zuständige Behörde handelte , und die Information (Abmeldung nach Israel) allenfalls auch für die SVA von Bedeutung sein könnte. Soweit d er Beschwerdeführer schliesslich sinngemäss vorbringt, die Hinweise auf die Meldepflicht auf der Rückseite der Verfügungen liessen Interpretationsspielraum zu, gehörte es zur zumutbaren Sorgfalt , bei allfälligen Unklarheiten mittels Nachfrage bei der Beschwerde geg nerin eine Klärung herbeizuführen .</w:t>
      </w:r>
    </w:p>
    <w:p>
      <w:r>
        <w:rPr>
          <w:b/>
        </w:rPr>
        <w:t>E. 4.4</w:t>
      </w:r>
    </w:p>
    <w:p>
      <w:r>
        <w:t>Indem der Beschwerdeführer der Familienausgleichskasse den Wegzug seiner Kinder nach Israel weder anzeigte noch sich bezüglich der Auswirkungen auf den Zulagenanspruch erkundigte, und</w:t>
      </w:r>
    </w:p>
    <w:p>
      <w:r>
        <w:t>er trotz der Hinweise auch in den Anmelde formularen auf die Massgeblich keit des Wohnorts für den Zulagenanspruch die Zulagen im Vertrauen auf die Richtigkeit des Leistungsbezugs weiterhin bezog, muss er sich den Vorwurf gefallen lassen, nicht das Mindestmass an Aufmerksamkeit aufgewendet zu haben, das von einem verständigen Menschen in gleicher Lage und unter gleichen Umständen erwartet werden kann. Dies führt unter dem Aspekt der zumutbaren Aufmerksamkeit dazu, dass er - im hier massgebenden Rechtssinne - nicht als gutgläubig gelten kann. Fehlt jedoch der gute Glaube, erübrigt sich die Prüfung der grossen Härte als zweiter (kumulativer) Erlassvoraussetzung, wie die Beschwerdegegner i n zu Recht fest ge halten hat.</w:t>
      </w:r>
    </w:p>
    <w:p>
      <w:r>
        <w:rPr>
          <w:b/>
        </w:rPr>
        <w:t>E. 4.5</w:t>
      </w:r>
    </w:p>
    <w:p>
      <w:r>
        <w:t>Damit hat die Beschwerdegegnerin im angefochtenen</w:t>
      </w:r>
    </w:p>
    <w:p>
      <w:r>
        <w:t>Einspracheentscheid zu Recht an der Abweisung des Erlassgesuch es festgehalten, was zur Abweisung der vorliegende n Beschwerde führt. Die Einzelrichterin erkennt: 1.</w:t>
      </w:r>
    </w:p>
    <w:p>
      <w:r>
        <w:t>Die Beschwerde wird abgewiesen. 2.</w:t>
      </w:r>
    </w:p>
    <w:p>
      <w:r>
        <w:t>Das Verfahren ist kostenlos. 3.</w:t>
      </w:r>
    </w:p>
    <w:p>
      <w:r>
        <w:t>Zustellung gegen Empfangsschein an: - X.___ - Sozialversicherungsanstalt des Kantons Zürich, Familienausgleichskasse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