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KA.2020.00007 vom 28. Januar 2021</w:t>
      </w:r>
    </w:p>
    <w:p>
      <w:r>
        <w:t>ZH Sozialversicherungsgericht, 2021-01-28, DE</w:t>
      </w:r>
    </w:p>
    <w:p>
      <w:r>
        <w:rPr>
          <w:b/>
        </w:rPr>
        <w:t xml:space="preserve">Quelle: </w:t>
      </w:r>
      <w:r>
        <w:t>https://mcp.opencaselaw.ch/entscheid/zh_sozialversicherungsgericht_KA.2020.00007</w:t>
      </w:r>
    </w:p>
    <w:p>
      <w:r>
        <w:t>FR: ZH_SOZIALVERSICHERUNGSGERICHT KA.2020.00007 du 28 janvier 2021</w:t>
      </w:r>
    </w:p>
    <w:p>
      <w:r>
        <w:t>IT: ZH_SOZIALVERSICHERUNGSGERICHT KA.2020.00007 del 28 gennaio 2021</w:t>
      </w:r>
    </w:p>
    <w:p>
      <w:pPr>
        <w:pStyle w:val="Heading2"/>
      </w:pPr>
      <w:r>
        <w:t>Erwägungen</w:t>
      </w:r>
    </w:p>
    <w:p>
      <w:r>
        <w:rPr>
          <w:b/>
        </w:rPr>
        <w:t>E. 1</w:t>
      </w:r>
    </w:p>
    <w:p>
      <w:r>
        <w:t>X.___ ist seit dem Jahr 2016 von Y.___ geschieden , mit welcher er weiterhin die gemeinsame elterliche Sorge über die Kinder</w:t>
      </w:r>
    </w:p>
    <w:p>
      <w:r>
        <w:t>Z.___ (geb. 2003) und A.___ (geb. 2005) hat. Gemäss Scheidungsurteil des Kreis gerichts St. Gallen vom</w:t>
      </w:r>
    </w:p>
    <w:p>
      <w:r>
        <w:rPr>
          <w:b/>
        </w:rPr>
        <w:t>E. 1.1</w:t>
      </w:r>
    </w:p>
    <w:p>
      <w:r>
        <w:t>Familienzulagen sind einmalige oder periodische Geldleistungen, die ausgerichtet werden, um die finanzielle Belastung durch ein oder mehrere Kinder teilweise auszugleichen ( Art. 2 des Bundesgesetzes über die Familienzulagen, FamZG ). Für das gleiche Kind wird nur eine Zulage derselben Art ausgerichtet. Die Diffe renz zahlung nach Art.</w:t>
      </w:r>
    </w:p>
    <w:p>
      <w:r>
        <w:rPr>
          <w:b/>
        </w:rPr>
        <w:t>E. 1.2</w:t>
      </w:r>
    </w:p>
    <w:p>
      <w:r>
        <w:t>Haben mehrere Personen für das gleiche Kind Anspruch auf Familienzulagen nach eidgenössischem oder kantonalem Recht, so steht der Anspruch nach Art.</w:t>
      </w:r>
    </w:p>
    <w:p>
      <w:r>
        <w:rPr>
          <w:b/>
        </w:rPr>
        <w:t>E. 6</w:t>
      </w:r>
    </w:p>
    <w:p>
      <w:r>
        <w:t>Januar</w:t>
      </w:r>
    </w:p>
    <w:p>
      <w:r>
        <w:t>2016 wohnen die Kinder bei ihrer Mutter</w:t>
      </w:r>
    </w:p>
    <w:p>
      <w:r>
        <w:t>( Urk. 7/8 ). S eit dem 1. April 2020</w:t>
      </w:r>
    </w:p>
    <w:p>
      <w:r>
        <w:t>arbeitet X.___</w:t>
      </w:r>
    </w:p>
    <w:p>
      <w:r>
        <w:t>im Spital B.___ (Urk. 7/13) , welche Arbeitgeberin der Familienausgleichskasse der Sozialversiche rungsanstalt des Kantons Zürich, ange schlossen ist. Mit Gesuch vom</w:t>
      </w:r>
    </w:p>
    <w:p>
      <w:r>
        <w:t>2 6. Februar 2020 (Eingang bei der Familienausgleichskasse )</w:t>
      </w:r>
    </w:p>
    <w:p>
      <w:r>
        <w:t>beantragte X.___ über seine Arbeitgeberin bei der Familienausgleichskasse Familienzulagen für seine beiden Kinder ( Urk. 7/2, Urk. 7/13) . Mit Verfügung vom 1 9. Juni 2020 verneinte die Familienausgleichskasse einen Anspruch</w:t>
      </w:r>
    </w:p>
    <w:p>
      <w:r>
        <w:t>von X.___</w:t>
      </w:r>
    </w:p>
    <w:p>
      <w:r>
        <w:t>auf Familien zu lagen ab dem 1. April 2020 , was sie im Wesentlichen damit begründete, dass beide Elternteile erwerbstätig seien und sich die elterliche Sorge teilen würden, weshalb – da die Kinder überwiegend bei der Kindsmutter leben würden -</w:t>
      </w:r>
    </w:p>
    <w:p>
      <w:r>
        <w:t>die Zulagen durch die Kindsmutte r bei der für sie zuständigen Familienaus gleichs kasse zu beantragen seien (Urk. 7/14). Dag egen erhob X.___ am 13. Juli 2020 E insprache (Urk. 7/15), welche die Familienausgleichskasse mit Einsprache ent scheid vom 9. Oktober 2020 abwies ( Urk. 2). 2.</w:t>
      </w:r>
    </w:p>
    <w:p>
      <w:r>
        <w:t>Gegen den Einspracheentscheid vom 9. Oktober 2020 erhob X.___ hierorts am 2. November 2020 Beschwerde und beantragte, dass die seit 1. April 2020 aus stehenden Familienzulagen an ihn auszuzahlen seien (Urk. 1). Mit Vernehm lassung vom 2. Dezemb er 2020 stellte die Familienausgleichskasse Antrag auf Abweisung der Beschwerde (Urk. 6), was dem Beschwerdeführer mit gerichtlicher Verfügung vom 10. Dezember 2020 zur Kenntnis gebracht wurde ( Urk. 8). Das Gericht zieht in Erwägung: 1.</w:t>
      </w:r>
    </w:p>
    <w:p>
      <w:r>
        <w:rPr>
          <w:b/>
        </w:rPr>
        <w:t>E. 7</w:t>
      </w:r>
    </w:p>
    <w:p>
      <w:r>
        <w:t>Abs. 1 FamZG in nachstehender Reihenfolge zu:</w:t>
      </w:r>
    </w:p>
    <w:p>
      <w:r>
        <w:t>a.</w:t>
      </w:r>
    </w:p>
    <w:p>
      <w:r>
        <w:t>der erwerbstätigen Person; b.</w:t>
      </w:r>
    </w:p>
    <w:p>
      <w:r>
        <w:t>der Person, welche die elterliche Sorge hat oder bis zur Mündigkeit des Kindes hatte; c.</w:t>
      </w:r>
    </w:p>
    <w:p>
      <w:r>
        <w:t>der Person, bei der das Kind überwiegend lebt oder bis zu seiner Mündigkeit lebte; d.</w:t>
      </w:r>
    </w:p>
    <w:p>
      <w:r>
        <w:t>der Person, auf welche die Familienzulagenordnung im Wohnsitzkanton des Kindes anwendbar ist; e.</w:t>
      </w:r>
    </w:p>
    <w:p>
      <w:r>
        <w:t>der Person mit dem höheren AHV-pflichtigen Einkommen aus unselbststän - diger Erwerbstätigkeit; f.</w:t>
      </w:r>
    </w:p>
    <w:p>
      <w:r>
        <w:t>der Person mit dem höheren AHV-pflichtigen Einkommen aus selbstständiger Erwerbstätigkeit. 1 .3</w:t>
      </w:r>
    </w:p>
    <w:p>
      <w:r>
        <w:t>Gemäss Rz 404.1 der Wegleitung über die Familienzulagen ( FamZWL )</w:t>
      </w:r>
    </w:p>
    <w:p>
      <w:r>
        <w:t>kann e ine Scheidungskonvention oder ein Scheidungsurteil vorsehen, wer die Familienzu lagen im Endeffekt er hält und allenfalls zu welchem Zweck sie verwendet wer den sollen (Krankenversicherungsprämien, Kleider, usw.). Die erstanspruchsbe rech t igte Person wird indes immer ge stützt auf Artikel 7 FamZG von der FAK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