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KA.2013.00004 vom 22. August 2014</w:t>
      </w:r>
    </w:p>
    <w:p>
      <w:r>
        <w:t>ZH Sozialversicherungsgericht, 2014-08-22, DE</w:t>
      </w:r>
    </w:p>
    <w:p>
      <w:r>
        <w:rPr>
          <w:b/>
        </w:rPr>
        <w:t xml:space="preserve">Quelle: </w:t>
      </w:r>
      <w:r>
        <w:t>https://mcp.opencaselaw.ch/entscheid/zh_sozialversicherungsgericht_KA.2013.00004</w:t>
      </w:r>
    </w:p>
    <w:p>
      <w:r>
        <w:t>FR: ZH_SOZIALVERSICHERUNGSGERICHT KA.2013.00004 du 22 août 2014</w:t>
      </w:r>
    </w:p>
    <w:p>
      <w:r>
        <w:t>IT: ZH_SOZIALVERSICHERUNGSGERICHT KA.2013.00004 del 22 agosto 2014</w:t>
      </w:r>
    </w:p>
    <w:p>
      <w:pPr>
        <w:pStyle w:val="Heading2"/>
      </w:pPr>
      <w:r>
        <w:t>Erwägungen</w:t>
      </w:r>
    </w:p>
    <w:p>
      <w:r>
        <w:rPr>
          <w:b/>
        </w:rPr>
        <w:t>E. 1</w:t>
      </w:r>
    </w:p>
    <w:p>
      <w:r>
        <w:t>5. Februar 2013 ab</w:t>
      </w:r>
    </w:p>
    <w:p>
      <w:r>
        <w:t>( Urk. 2) .</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 Stellung genommen hat. Insoweit bestimmt die Verfügung den be schwer deweise weiterziehbaren Anfechtungsgegenstand. Umgekehrt fehlt es an einem Anfechtungsgegenstand und somit an einer Sachurteilsvoraussetzung, wenn und insoweit keine Verfügung ergangen ist (BGE 131 V 164 E. 2.1, 125 V 413 E. 1a, 119 Ib 33 E. 1b, je mit Hinweisen).</w:t>
      </w:r>
    </w:p>
    <w:p>
      <w:r>
        <w:rPr>
          <w:b/>
        </w:rPr>
        <w:t>E. 1.2</w:t>
      </w:r>
    </w:p>
    <w:p>
      <w:r>
        <w:t>A nfechtungsgegen stand im vorliegenden Verfahren bildet der Einspracheent scheid vom 15.</w:t>
      </w:r>
    </w:p>
    <w:p>
      <w:r>
        <w:t>Februar 2013 (Urk. 2), mit welchem die Beschwerdegegnerin die Rechtmässigkeit der Verfügungen vom 1 7. Dezember 2012 ge prüft beziehungs weise den Anspruch der Beschwerdeführerin auf Familienzulagen für die Kinder Y.___ und Z.___ sowie die Rückforderung beurteilt hat. Soweit die Beschwerdeführerin im vorliegenden Prozess nunmehr auch die Zusprache von Familienzulagen für ihre</w:t>
      </w:r>
    </w:p>
    <w:p>
      <w:r>
        <w:t>– nicht näher</w:t>
      </w:r>
    </w:p>
    <w:p>
      <w:r>
        <w:t>bezeichneten - in A.___ lebenden Kinder aus erster Ehe beantragt, bildete der diesbezügliche Anspruch weder Geg enstand der Verfügungen vom 17. Dezember 2012 noch des angefochtenen Entscheides vom</w:t>
      </w:r>
    </w:p>
    <w:p>
      <w:r>
        <w:t>15. Februar 2013 , weshalb insoweit mangels Anfechtungsge genstandes auf die Beschwerde nicht einzutreten ist.</w:t>
      </w:r>
    </w:p>
    <w:p>
      <w:r>
        <w:rPr>
          <w:b/>
        </w:rPr>
        <w:t>E. 2</w:t>
      </w:r>
    </w:p>
    <w:p>
      <w:r>
        <w:t>Dagegen erhob X.___ hierorts mit Eingabe vom 11. März 20 13 Beschwerde mit den sinngemässen Anträgen um Aufhebung des angefochtenen Entscheides sowie Weiterausrichtung der Familienzulagen, auch für die in A.___ wohnhaften Kinder aus erster Ehe (Anträge 1 bis 3); in verfahrens rechtlicher Hinsicht beantragte sie die Gewährung der unentgeltliche n Rechts pflege im Sinne der Befreiung von den Verfahrens kosten ( vgl. Urk. 1 S. 1).</w:t>
      </w:r>
    </w:p>
    <w:p>
      <w:r>
        <w:t>Die Familienausgleichskasse beantragte mit Vernehmlassung vom 3. Mai 2013 die Abweisung der Beschwerde (Urk. 5), was der Beschwerdeführerin am 27. Mai 2013 zur Kenntnis gebracht wurde (Urk. 8 ). Das Gericht zieht in Erwägung: 1.</w:t>
      </w:r>
    </w:p>
    <w:p>
      <w:r>
        <w:rPr>
          <w:b/>
        </w:rPr>
        <w:t>E. 2.1</w:t>
      </w:r>
    </w:p>
    <w:p>
      <w:r>
        <w:t>Familienzulagen s ind einmalige oder periodische Geld l eistungen, die ausgerich tet werden, um die finanzielle Belastung durch ein oder mehrere Kinder teil weise auszugleichen (Art. 2 des Bundesgesetzes über die Familienzulagen, FamZG ). Sie</w:t>
      </w:r>
    </w:p>
    <w:p>
      <w:r>
        <w:t>umfassen die Kinder- und die Ausbildungszulagen (Art. 3 Abs. 1 FamZG ) und be tragen mindestens Fr. 200.-- ( Kinder zulage) bzw. Fr. 250.-- pro Monat ( Aus bildungszulage ; Art. 5 Abs. 1 und 2 FamZG ). Für das gleiche Kind wird nur eine Zulage derselben Art ausgerichtet; vorbehalten bleibt die Diffe renzzahlung nach Art. 7 Abs. 2 (Art. 6 FamZG ).</w:t>
      </w:r>
    </w:p>
    <w:p>
      <w:r>
        <w:rPr>
          <w:b/>
        </w:rPr>
        <w:t>E. 2.2</w:t>
      </w:r>
    </w:p>
    <w:p>
      <w:r>
        <w:t>Für im Ausland wohnhafte Kinder regelt der Bundesrat die Voraussetzungen für den Anspruch auf Familienzulagen. Deren Höhe richtet sich nach der Kaufkraft im Wohnsitzstaat ( Art.</w:t>
      </w:r>
    </w:p>
    <w:p>
      <w:r>
        <w:rPr>
          <w:b/>
        </w:rPr>
        <w:t>E. 2.3</w:t>
      </w:r>
    </w:p>
    <w:p>
      <w:r>
        <w:t>Haben mehrere Personen für das gleiche Kind An spruch auf Familienzulagen nach eidgenössischem oder kantonale m Recht, be steht der Anspruch gemäss der in Art. 7 Abs. 1 FamZG geregelten Reihenfolge. Nach Art.</w:t>
      </w:r>
    </w:p>
    <w:p>
      <w:r>
        <w:rPr>
          <w:b/>
        </w:rPr>
        <w:t>E. 2.4</w:t>
      </w:r>
    </w:p>
    <w:p>
      <w:r>
        <w:t>D ie als Arbeitnehmerinnen oder Arbeitnehmer in der AHV obligatorisch versi cherten Personen, die von einem diesem Gesetz unterstellten Arbeitgeber beschäftigt werden, haben Anspruch auf Familienzulagen. Die Leistungen rich ten sich nach der Familienzulagenordnung des Kantons gemäss Artikel 12 Absatz 2. Der Anspruch entsteht und erlischt mit dem Lohnanspruch. Der Bun desrat regelt den Anspruch nach dem Erlöschen des Lohnanspruchs ( Art. 13 Abs. 1 FamZG ).</w:t>
      </w:r>
    </w:p>
    <w:p>
      <w:r>
        <w:rPr>
          <w:b/>
        </w:rPr>
        <w:t>E. 2.5</w:t>
      </w:r>
    </w:p>
    <w:p>
      <w:r>
        <w:t>In der AHV obligatorisch versicherte Personen, die bei der AHV als nicht er werbs t ätige Personen erfasst sind, gelten als Nichterwerbstätige. Sie ha ben Anspruch auf Familienzulagen nach den Artikeln 3 und 5. Art.</w:t>
      </w:r>
    </w:p>
    <w:p>
      <w:r>
        <w:rPr>
          <w:b/>
        </w:rPr>
        <w:t>E. 4</w:t>
      </w:r>
    </w:p>
    <w:p>
      <w:r>
        <w:t>Abs. 3 FamZG ).</w:t>
      </w:r>
    </w:p>
    <w:p>
      <w:r>
        <w:t>F ür Kinder mit Wohnsitz im Ausland werden die Fami li en zulagen nur ausgerichtet, sofern zwischenstaatli che V erein barungen das vor schreiben (Art. 7 Abs. 1 der Verordnung über die Familienzu lagen ,</w:t>
      </w:r>
    </w:p>
    <w:p>
      <w:r>
        <w:t>FamZV ) .</w:t>
      </w:r>
    </w:p>
    <w:p>
      <w:r>
        <w:rPr>
          <w:b/>
        </w:rPr>
        <w:t>E. 7</w:t>
      </w:r>
    </w:p>
    <w:p>
      <w:r>
        <w:t>Abs. 1 FamZG</w:t>
      </w:r>
    </w:p>
    <w:p>
      <w:r>
        <w:t>schon</w:t>
      </w:r>
    </w:p>
    <w:p>
      <w:r>
        <w:t>im Zeitpunkt</w:t>
      </w:r>
    </w:p>
    <w:p>
      <w:r>
        <w:t>zur Anwendung , als der Lohnanspruch entstand ;</w:t>
      </w:r>
    </w:p>
    <w:p>
      <w:r>
        <w:t>alsdann können Zulagen gegebenenfalls auch während fünf Jahren rückwirkend ausgerichtet werden ( Art. 1 FamZG in Verbindung mit Art. 24 ATSG; vgl. wiederum BGE 139 V 429 E. 4.2) . V orli e gend gilt dies unge achtet</w:t>
      </w:r>
    </w:p>
    <w:p>
      <w:r>
        <w:t>der Frage , inwieweit</w:t>
      </w:r>
    </w:p>
    <w:p>
      <w:r>
        <w:t>der Ehegatte mit B lick auf die</w:t>
      </w:r>
    </w:p>
    <w:p>
      <w:r>
        <w:t>am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