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KA.2005.00010 vom 14. Juni 2005</w:t>
      </w:r>
    </w:p>
    <w:p>
      <w:r>
        <w:t>ZH Sozialversicherungsgericht, 2005-06-14, DE</w:t>
      </w:r>
    </w:p>
    <w:p>
      <w:r>
        <w:rPr>
          <w:b/>
        </w:rPr>
        <w:t xml:space="preserve">Quelle: </w:t>
      </w:r>
      <w:r>
        <w:t>https://mcp.opencaselaw.ch/entscheid/zh_sozialversicherungsgericht_KA.2005.00010</w:t>
      </w:r>
    </w:p>
    <w:p>
      <w:r>
        <w:t>FR: ZH_SOZIALVERSICHERUNGSGERICHT KA.2005.00010 du 14 juin 2005</w:t>
      </w:r>
    </w:p>
    <w:p>
      <w:r>
        <w:t>IT: ZH_SOZIALVERSICHERUNGSGERICHT KA.2005.00010 del 14 giugno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Vorweg ist zu prÃ¼fen, ob der angefochtene Verwaltungsakt der Beschwerdegegnerin eine VerfÃ¼gung im Rechtssinne darstellt.</w:t>
      </w:r>
    </w:p>
    <w:p>
      <w:r>
        <w:t>Â Â Â Â Â Â Â Â  Der Begriff der VerfÃ¼gung wird im Kinderzulagengesetz nicht nÃ¤her umschrieben, weshalb nach Â§ 33 KZG insoweit die Vorschriften Ã¼ber die eidgenÃ¶ssische Alters- und Hinterlassenenversicherung sinngemÃ¤ss Anwendung finden. Die Rechtsprechung hat dazu in stÃ¤ndiger Praxis festgelegt, dass im gesamten Sozialversicherungsrecht der VerfÃ¼gungsbegriff in Entsprechung zu demjenigen nach Art. 5 Abs. 1 des Bundesgesetzes Ã¼ber das Verwaltungsverfahren (VwVG) zu bestimmen ist. GemÃ¤ss dieser Bestimmung gelten als VerfÃ¼gungen Anordnungen der BehÃ¶rden im Einzelfall, die sich auf Ã¶ffentliches Recht des Bundes stÃ¼tzen (oder richtigerweise hÃ¤tten stÃ¼tzen sollen; BGE 116 Ia 266 Erw. 2a) und zum Gegenstand haben: BegrÃ¼ndung, Ãnderung oder Aufhebung von Rechten oder Pflichten, Feststellung des Bestehens, Nichtbestehens oder Umfanges von Rechten oder Pflichten, Abweisung von Begehren auf BegrÃ¼ndung, Ãnderung, Aufhebung oder Feststellung von Rechten oder Pflichten oder Nichteintreten auf solche Begehren (BGE 124 V 20 Erw. 1, 123 V 296 Erw. 3a, je mit Hinweisen).</w:t>
      </w:r>
    </w:p>
    <w:p>
      <w:r>
        <w:t>2.2Â Â Â Â  Nach Lehre und Rechtsprechung ist die VerfÃ¼gung des materiellen Verwaltungsrechts als eine behÃ¶rdliche Anordnung im Einzelfall zu verstehen, durch welche ein konkretes individuelles RechtsverhÃ¤ltnis in verbindlicher - fÃ¼r vollstreckungsfÃ¤hige Inhalte erzwingbarer - Weise rechtsgestaltend oder feststellend geregelt wird (Gygi, Bundesverwaltungsrechtspflege, 2. Aufl., Bern 1983, S. 128, und dort zitierte Entscheide). Normalerweise werden im Sozialversicherungsrecht rechtsgestaltende VerfÃ¼gungen erlassen. Nur wenn ein unmittelbares und aktuelles rechtliches oder tatsÃ¤chliches Feststellungsinteresse nachgewiesen wird, dem keine erheblichen Ã¶ffentlichen oder privaten Interessen entgegenstehen, und dieses schutzwÃ¼rdige Interesse nicht durch eine rechtsgestaltende VerfÃ¼gung gewahrt werden kann, darf eine FeststellungsverfÃ¼gung erlassen werden. ErlÃ¤sst ein SozialversicherungstrÃ¤ger zu Unrecht eine FeststellungsverfÃ¼gung, so liegt ein unzulÃ¤ssiger Verwaltungsakt vor, und das Gericht hat auf das Rechtsmittel nicht einzutreten (ZÃ¼nd, Kommentar zum Gesetz Ã¼ber das Sozialversicherungsgericht des Kantons ZÃ¼rich, N 2 zu Â§ 13, S. 83, und dort zitierte Entscheide). Mittels VerfÃ¼gung festgestellt werden kÃ¶nnen konkrete und individualisierte oder mindestens eindeutig und zweifelsfrei bestimmbare Rechte und Pflichten, nicht aber RechtsverhÃ¤ltnisse, welche fÃ¼r den Einzelfall verschiedene LÃ¶sungsmÃ¶glichkeiten offen lassen (BGE 102 V 150). Gegenstand von FeststellungsverfÃ¼gungen kÃ¶nnen nur Rechtsfolgen, nicht aber theoretische Rechtsfragen oder blosse tatbestÃ¤ndliche Feststellungen sein (Gygi, a.a.O, S. 144).</w:t>
      </w:r>
    </w:p>
    <w:p>
      <w:r>
        <w:rPr>
          <w:b/>
        </w:rPr>
        <w:t>E. 3</w:t>
      </w:r>
    </w:p>
    <w:p>
      <w:r>
        <w:t>3.1Â Â Â Â  Im streitigen Verwaltungsakt vom 15. Februar 2005 (Urk. 2) hat die Beschwerdegegnerin nicht konkret Ã¼ber zu leistenden FAK-BeitrÃ¤ge verfÃ¼gt, sondern nur generell-abstrakt festgehalten, dass sÃ¤mtliche in den letzten fÃ¼nf Jahren vom BeschwerdefÃ¼hrer an die BelegÃ¤rzte am Bezirksspital A.___ ausgerichteten Honorare mit ihr abzurechnen seien, und dass kÃ¼nftig die BelegÃ¤rzte abrechnungsweise als unselbstÃ¤ndige Mitarbeiter zu behandeln seien.</w:t>
      </w:r>
    </w:p>
    <w:p>
      <w:r>
        <w:t>3.2Â Â Â Â  Damit fehlen dem streitigen Verwaltungsakt aber die notwendigen Elemente, die nach der zitierten Rechtsprechung eine VerfÃ¼gung im Rechtssinne ausmachen, und die seine gerichtliche ÃberprÃ¼fung Ã¼berhaupt erst ermÃ¶glichen. Dass das Festschreiben der generellen Pflicht eines Arbeitgebers zur Abrechnung von LÃ¶hnen (rÃ¼ckwirkend und fÃ¼r die Zukunft) nicht ausschliesslicher Inhalt einer VerfÃ¼gung sein kann, ist auch daraus ersichtlich, dass das Bundesgesetz Ã¼ber die Alters- und Hinterlassenenversicherung (AHVG), dessen Vorschriften fÃ¼r das Abrechnungsverfahren gemÃ¤ss Â§ 33 KZG ergÃ¤nzend und analog zu berÃ¼cksichtigen sind, eine VerfÃ¼gung Ã¼ber die generell-abstrakte Abrechnungspflicht eines Arbeitgebers nicht vorsieht. Formell verfÃ¼gt werden kann nÃ¤mlich erst, wenn der Arbeitgeber die fÃ¼r die Abrechnung erforderlichen Angaben nicht innert der ihm gesetzten Frist macht. Die dann zu erlassende VeranlagungsverfÃ¼gung hat die geschuldeten BeitrÃ¤ge zum Gegenstand. Dabei ist die Ausgleichskasse berechtigt, die VeranlagungsverfÃ¼gung auf Grund einer PrÃ¼fung der VerhÃ¤ltnisse an Ort und Stelle zu erlassen und kann fÃ¼r das laufende Jahr zunÃ¤chst von der voraussichtlichen Lohnsumme ausgehen und sie erst nach Jahresende bereinigen (Art. 38 Abs. 1 und 2 der Verordnung Ã¼ber die Alters- und Hinterlassenenversicherung [AHVV]). Erst dieser Verwaltungsakt regelt das konkrete individuelle RechtsverhÃ¤ltnis in verbindlicher, gerichtlich Ã¼berprÃ¼fbarer und schliesslich auch vollstreckbarer Weise (vgl. oben Erw. 2.2). Im weiteren bezieht sich auch die im angefochtenen Entscheid vom 15. Februar 2005 (Urk. 2 S. 2) von der Beschwerdegegnerin zitierte "allgemeine VerjÃ¤hrungspflicht von fÃ¼nf Jahren" nicht auf die "Abrechnungsverpflichtungen" des Arbeitgebers, sondern auf die Forderungen der Familienausgleichskassen gegenÃ¼ber den Arbeitgebern, worunter klarerweise die geschuldeten BeitrÃ¤ge zu verstehen sind. Diese (Beitrags-)Forderungen verjÃ¤hren fÃ¼nf Jahre nach Eintritt der FÃ¤lligkeit (Â§ 16 Abs. 3 KZG, vgl. auch Art. 16 AHVG).</w:t>
      </w:r>
    </w:p>
    <w:p>
      <w:r>
        <w:t>Â Â Â Â Â Â Â Â  Damit geht dem vorliegenden streitigen Verwaltungsakt der Beschwerdegegnerin sowohl in Bezug auf die betroffenen Personen, die involvierte Lohnsumme und die als Folge davon geschuldeten BeitrÃ¤ge, als auch bezÃ¼glich dem dafÃ¼r massgebenden Zeitraum die notwendige individualisierende Konkretisierung ab.</w:t>
      </w:r>
    </w:p>
    <w:p>
      <w:r>
        <w:t>4.Â Â Â Â Â Â  Zusammenfassend ergibt sich demnach, dass der Entscheid der Beschwerdegegnerin vom 15. Februar 2005 keine anfechtbare VerfÃ¼gung im Sinne von Art. 5 VwVG darstellt. Daran vermag auch der Umstand nichts zu Ã¤ndern, dass der VerwaltungsÃ¤usserung eine Rechtsmittelbelehrung beigefÃ¼gt worden ist (Gygi, a.a.O., S. 131). Auf die Beschwerde ist deshalb nicht einzutreten.</w:t>
      </w:r>
    </w:p>
    <w:p>
      <w:r>
        <w:t>Das Gericht erkennt:</w:t>
      </w:r>
    </w:p>
    <w:p>
      <w:r>
        <w:t>1.Â Â Â Â Â Â Â Â  Auf die Beschwerde wird nicht eingetreten.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Bezirksspital A.___</w:t>
      </w:r>
    </w:p>
    <w:p>
      <w:r>
        <w:t>- Familienausgleichskasse ZÃ¼rcher KrankenhÃ¤user</w:t>
      </w:r>
    </w:p>
    <w:p>
      <w:r>
        <w:t>- Direktion fÃ¼r Soziales und Sicherheit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