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KA.2002.00031 vom 30. September 2003</w:t>
      </w:r>
    </w:p>
    <w:p>
      <w:r>
        <w:t>ZH Sozialversicherungsgericht, 2003-09-30, DE</w:t>
      </w:r>
    </w:p>
    <w:p>
      <w:r>
        <w:rPr>
          <w:b/>
        </w:rPr>
        <w:t xml:space="preserve">Quelle: </w:t>
      </w:r>
      <w:r>
        <w:t>https://mcp.opencaselaw.ch/entscheid/zh_sozialversicherungsgericht_KA.2002.00031</w:t>
      </w:r>
    </w:p>
    <w:p>
      <w:r>
        <w:t>FR: ZH_SOZIALVERSICHERUNGSGERICHT KA.2002.00031 du 30 septembre 2003</w:t>
      </w:r>
    </w:p>
    <w:p>
      <w:r>
        <w:t>IT: ZH_SOZIALVERSICHERUNGSGERICHT KA.2002.00031 del 30 settembre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Â Â Â Â Â  Unbestritten ist, dass die Kinder der BeschwerdefÃ¼hrer, fÃ¼r welche Kinderzulagen beansprucht werden,Â  keinen Wohnsitz in der Schweiz haben, und dass die Schweiz kein Sozialversicherungsabkommen mit Kamerun abgeschlossen hat, weshalb gemÃ¤ss dem am 1. Mai 2002 in Kraft getretenen Â§ 5 a neuKZG kein Anspruch auf Kinderzulagen besteht.</w:t>
      </w:r>
    </w:p>
    <w:p>
      <w:r>
        <w:t>Die BeschwerdefÃ¼hrer machen nun aber sinngemÃ¤ss geltend, Â§ 5a neuKZG widerspreche dem Gleichbehandlungsgebot gemÃ¤ss Art. 8 der Bundesverfassung (BV). Damit verlangen sie eine vorfrageweise ÃberprÃ¼fung dieser Bestimmung auf ihre VerfassungsmÃ¤ssigkeit.</w:t>
      </w:r>
    </w:p>
    <w:p>
      <w:r>
        <w:rPr>
          <w:b/>
        </w:rPr>
        <w:t>E. 3.1</w:t>
      </w:r>
    </w:p>
    <w:p>
      <w:r>
        <w:t>Â Â Â  Die Kantone kÃ¶nnen auf dem Gebiet der Familienzulagen autonom legiferieren. Ausgenommen hievon ist die Familienzulagenordnung auf dem Gebiet der Landwirtschaft, fÃ¼r welche der Bund von seiner Legiferierungskompetenz gemÃ¤ss Art. 116 Abs. 2 BV Gebrauch gemacht hat. Wo die Kantone ihre autonome Gesetzgebungskompetenz wahrnehmen, steht ihnen ein grosser Gestaltungsspielraum zu. Das Bundesgericht hat wiederholt erkannt, eine kantonale Regelung, welche vorsehe, dass fÃ¼r Kinder mit zivilrechtlichem Wohnsitz im Ausland keine Ausbildungszulagen ausgerichtet werden, sei verfassungskonform (so in BGE 117 Ia 97 ff. und 114 Ia 1 ff.). Diese Rechtsprechung ist auch auf Â§ 5a neuKZG anzuwenden, wobei anzumerken ist, dass das zÃ¼rcherische Kinderzulagengesetz die Unterscheidung in Kinderzulagen und Ausbildungszulagen nicht kennt, sondern auch die Zulagen, welche fÃ¼r die Ã¼ber 16jÃ¤hrigen ausgerichtet werden, als Kinderzulagen bezeichnet.</w:t>
      </w:r>
    </w:p>
    <w:p>
      <w:r>
        <w:t>3.2Â Â Â Â  Wo der Bund einen Sachbereich der Regelung durch den kantonalen Gesetzgeber Ã¼berlÃ¤sst, ist dieser an die Vorschriften des Bundesrechts, insbesondere an die Freiheitsrechte und das Rechtsgleichheitsgebot der Bundesverfassung gebunden.</w:t>
      </w:r>
    </w:p>
    <w:p>
      <w:r>
        <w:t>Abgesehen davon muss aber den Kantonen, wo sie ihre autonome Gesetzgebungskompetenz wahrnehmen, ein grosser Gestaltungsspielraum zugebilligt werden - auch unter dem Gesichtspunkt der Rechtsgleichheit. So kÃ¶nnen auf dem Gebiete der Sozialversicherung z. B. die Leistungsberechtigten in Kategorien oder Gruppen zusammengefasst schematisch behandelt werden (BGE 114 Ia 3/4 E. 4, mit Hinweis auf die Literatur). Auch vermÃ¶gen nach der Rechtsprechung technische und praktische GrÃ¼nde eine Ungleichbehandlung jedenfalls dann zu rechtfertigen, wenn dies nicht zu unbilligen Ergebnissen fÃ¼hrt (BGE 107 V 206 E. 3b, mit Hinweisen). Das ist zu berÃ¼cksichtigen, wenn - wie vorliegend im Fall des Â§ 5a neuKZG - eine kantonale Norm Ã¼ber die Ausrichtung von Kinderzulagen vorfrageweise auf ihre VerfassungsmÃ¤ssigkeit zu prÃ¼fen und dabei an den von der Rechtsprechung entwickelten GrundsÃ¤tzen zum Gleichbehandlungsgebot (Art. 8 BV) zu messen ist.</w:t>
      </w:r>
    </w:p>
    <w:p>
      <w:r>
        <w:rPr>
          <w:b/>
        </w:rPr>
        <w:t>E. 4</w:t>
      </w:r>
    </w:p>
    <w:p>
      <w:r>
        <w:t>4.1Â Â Â Â  Ein Erlass verletzt den Grundsatz der Rechtsgleichheit und damit Art. 8 BV, wenn er rechtliche Unterscheidungen trifft, fÃ¼r die ein vernÃ¼nftiger Grund in den zu regelnden VerhÃ¤ltnissen nicht ersichtlich ist, oder Unterscheidungen unterlÃ¤sst, die sich aufgrund der VerhÃ¤ltnisse aufdrÃ¤ngen. Die Rechtsgleichheit ist insbesondere verletzt, wenn Gleiches nicht nach Massgabe seiner Gleichheit gleich oder Ungleiches nicht nach Massgabe seiner Ungleichheit ungleich behandelt wird. Vorausgesetzt ist, dass sich der unbegrÃ¼ndete Unterschied oder die unbegrÃ¼ndete Gleichstellung auf eine wesentliche Tatsache bezieht. Die Frage, ob fÃ¼r eine rechtliche Unterscheidung ein vernÃ¼nftiger Grund in den zu regelnden VerhÃ¤ltnissen ersichtlich ist, kann zu verschiedenen Zeiten verschieden beantwortet werden, je nach den herrschenden Anschauungen und ZeitverhÃ¤ltnissen. Dem Gesetzgeber bleibt im Rahmen dieser GrundsÃ¤tze und des WillkÃ¼rverbots ein weiter Spielraum der Gestaltungsfreiheit (BGE 114 Ia 2 E. 3, 223 E. 2b, 323 E. 3a, je mit Hinweisen).</w:t>
      </w:r>
    </w:p>
    <w:p>
      <w:r>
        <w:t>4.2Â Â Â Â  Der ZÃ¼rcherische Gesetzgeber hat in Â§ 5a neuKZG festgelegt, dass fÃ¼r Kinder im AuslandÂ  Kinderzulagen nur ausgerichtet werden, wenn sie in einem Staat wohnen, mit dem die Schweiz ein Sozialversicherungsabkommen abgeschlossen hat. Er trifft damit fÃ¼r die Regelung der Zulagenberechtigung eine Unterscheidung je nach Wohnsitz der Kinder im In- oder Ausland. Mit dieser Differenzierung hat sich das Bundesgericht in den erwÃ¤hnten Entscheiden BGE 114 Ia 1 ff. (wo es allerdings um den Anspruch von Asylbewerbern auf Kinderzulagen fÃ¼r ihre im Ausland wohnenden Kinder ging) und BGE 117 Ia 97 ff. (bezÃ¼glich Â§ 12 des thurgauischen Gesetzes Ã¼ber die Kinder- und Ausbildungszulagen; KAZG) bereits einmal befasst. Dabei hat es festgestellt, dass die Kantone von Verfassungs wegen nicht nur frei sind, den Arbeitgebern den Anschluss an Familienausgleichskassen und die Ausrichtung von Familienzulagen vorzuschreiben; auch bei der Ausgestaltung ihrer Familienzulagenordnungen steht ihnen weitgehende Freiheit zu, u. a. was die Abgrenzung der zulagenberechtigten Arbeitnehmer und der Kinder betrifft, fÃ¼r die sie gesetzlich den Zulagenanspruch haben. So ist keineswegs ausgeschlossen, dass fÃ¼r im Ausland wohnende Kinder generell oder auch auslÃ¤ndischen Arbeitnehmern Zulagen nur nach besonderen Bestimmungen gewÃ¤hrt werden. Eine ganze Anzahl von Kantonen hat den Anspruch (von AuslÃ¤ndern) auf Kinderzulagen fÃ¼r im Ausland wohnende Kinder abweichend von demjenigen fÃ¼r in der Schweiz wohnende Kinder geordnet, was durch die Verschiedenartigkeit der VerhÃ¤ltnisse durchaus gerechtfertigt sein kann (BGE 114 Ia 3/4 E. 4, mit Quellenhinweis). Das Bundesgericht hat es aus diesen GrÃ¼nden als mit Art. 8 BV vereinbar bezeichnet, dass der thurgauische Gesetzgeber in Â§ 5 KAZG die zulagenberechtigten Kinder weit umschrieb und dennoch in Â§ 12 des gleichen Gesetzes den Ausschluss von Ausbildungszulagen fÃ¼r im Ausland wohnende Kinder festlegte (BGE 114 Ia 4 E. 5).</w:t>
      </w:r>
    </w:p>
    <w:p>
      <w:r>
        <w:t>4.3Â Â Â Â  Auch aus dem System der Kinderzulagen an sich lÃ¤sst sich nicht schliessen, jede EinschrÃ¤nkung der LeistungsansprÃ¼che bedeute eine verfassungswidrige Ungleichbehandlung der Arbeitnehmer von unterstellten Arbeitgebern. Ebenso wenig lÃ¤sst sich daraus folgern, eine Begrenzung der AnsprÃ¼che je nach Wohnort der Kinder verletze schon deshalb den Gleichbehandlungsgrundsatz, weil das System der Familienzulagen ausschliesslich auf dem ArbeitsverhÃ¤ltnis selbst beruhe. Denn ein weiteres Motiv fÃ¼r die getroffene Unterscheidung ist in der beschrÃ¤nkten ÃberprÃ¼fungs- und KontrollmÃ¶glichkeit seitens der kantonalen BehÃ¶rden bezÃ¼glich auslÃ¤ndischer Bescheinigungen auszumachen. Damit allein liesse sich die Ungleichheit in der Regelung der Zulagenberechtigung nach der bundesgerichtlichen Rechtsprechung freilich nicht rechtfertigen. Indessen sind andere, stichhaltige und sachgerechte Motive fÃ¼r eine derartige Abgrenzung durch den kantonalen Gesetzgeber durchaus denkbar: So ist mit dem Bundesgericht (BGE 117 Ia 97 ff) ein ernsthafter, sachlicher Grund darin zu sehen, dass mit der BeschrÃ¤nkung ungerechtfertigte Kumulationen vermieden werden sollen, wenn fÃ¼r dasselbe Kind bereits Zulagen im auslÃ¤ndischen Wohnsitzstaat ausgerichtet werden.</w:t>
      </w:r>
    </w:p>
    <w:p>
      <w:r>
        <w:rPr>
          <w:b/>
        </w:rPr>
        <w:t>E. 5</w:t>
      </w:r>
    </w:p>
    <w:p>
      <w:r>
        <w:t>Â Â Â Â Â  Lassen sich aber - wie soeben gezeigt - sachliche, vernÃ¼nftige GrÃ¼nde fÃ¼r die in Â§ 5a neuKZG geregelte Ungleichbehandlung anfÃ¼hren, so hÃ¤lt diese Bestimmung vor Art. 8 BV stand. Weder hat das Sozialversicherungsgericht selber (anstelle des kantonalen Gesetzgebers) nach der besten LÃ¶sung zu suchen, noch hat es darÃ¼ber zu befinden, ob der autonome kantonale Gesetzgeber innerhalb des ihm zugebilligten Gestaltungsspielraumes die zweckmÃ¤ssigste und angemessenste Regelung getroffen hat.</w:t>
      </w:r>
    </w:p>
    <w:p>
      <w:r>
        <w:t>Nach dem Gesagten ist die angefochtene VerfÃ¼gung vom 30. Mai 2002 zu bestÃ¤tigen, die Beschwerde hingegen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L.___</w:t>
      </w:r>
    </w:p>
    <w:p>
      <w:r>
        <w:t>- C.___</w:t>
      </w:r>
    </w:p>
    <w:p>
      <w:r>
        <w:t>- Sozialversicherungsanstalt des Kantons ZÃ¼rich, Familienausgleichskasse</w:t>
      </w:r>
    </w:p>
    <w:p>
      <w:r>
        <w:t>- Direktion fÃ¼r Soziales und Sicherheit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