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IV.2025.00682 vom 29. Oktober 2025</w:t>
      </w:r>
    </w:p>
    <w:p>
      <w:r>
        <w:t>ZH Sozialversicherungsgericht, 2025-10-29, DE</w:t>
      </w:r>
    </w:p>
    <w:p>
      <w:r>
        <w:rPr>
          <w:b/>
        </w:rPr>
        <w:t xml:space="preserve">Quelle: </w:t>
      </w:r>
      <w:r>
        <w:t>https://mcp.opencaselaw.ch/entscheid/zh_sozialversicherungsgericht_IV.2025.00682</w:t>
      </w:r>
    </w:p>
    <w:p>
      <w:r>
        <w:t>FR: ZH_SOZIALVERSICHERUNGSGERICHT IV.2025.00682 du 29 octobre 2025</w:t>
      </w:r>
    </w:p>
    <w:p>
      <w:r>
        <w:t>IT: ZH_SOZIALVERSICHERUNGSGERICHT IV.2025.00682 del 29 ottobre 2025</w:t>
      </w:r>
    </w:p>
    <w:p>
      <w:pPr>
        <w:pStyle w:val="Heading2"/>
      </w:pPr>
      <w:r>
        <w:t>Erwägungen</w:t>
      </w:r>
    </w:p>
    <w:p>
      <w:r>
        <w:rPr>
          <w:b/>
        </w:rPr>
        <w:t>E. 1</w:t>
      </w:r>
    </w:p>
    <w:p>
      <w:r>
        <w:t>Die Sozialversicherungsanstalt des Kantons Zürich, IV-Stelle , sprach X.___ mit Verfügung vom 1 5. September 2025 ( Urk. 2) bei einem Invaliditätsgrad von 100 % ab dem 1. August 2023 eine ganze Rente der Invalidenversicherung in Höhe von monatlich Fr.</w:t>
      </w:r>
    </w:p>
    <w:p>
      <w:r>
        <w:t>1'483.-- respektive Fr.</w:t>
      </w:r>
    </w:p>
    <w:p>
      <w:r>
        <w:t>1'526.--</w:t>
      </w:r>
    </w:p>
    <w:p>
      <w:r>
        <w:t>(ab Januar 2025) zu.</w:t>
      </w:r>
    </w:p>
    <w:p>
      <w:r>
        <w:rPr>
          <w:b/>
        </w:rPr>
        <w:t>E. 1.1</w:t>
      </w:r>
    </w:p>
    <w:p>
      <w:r>
        <w:t>Gemäss § 19 Abs. 1 Satz 1 des Gesetzes über das Sozialversicherungsgericht ( GSVGer ) ist der Gegenpartei in der Regel Gelegenheit</w:t>
      </w:r>
    </w:p>
    <w:p>
      <w:r>
        <w:t>zur Stellungnahme einzuräumen.</w:t>
      </w:r>
    </w:p>
    <w:p>
      <w:r>
        <w:t>Erweist sich eine Beschwerde</w:t>
      </w:r>
    </w:p>
    <w:p>
      <w:r>
        <w:t>jedoch</w:t>
      </w:r>
    </w:p>
    <w:p>
      <w:r>
        <w:t>offensichtlich als unzulässig oder aussichtslos, kann das Gericht</w:t>
      </w:r>
    </w:p>
    <w:p>
      <w:r>
        <w:t>ohne</w:t>
      </w:r>
    </w:p>
    <w:p>
      <w:r>
        <w:t>Anhörung der Gegenpartei sofort entscheiden</w:t>
      </w:r>
    </w:p>
    <w:p>
      <w:r>
        <w:t>(§ 19 Abs. 2 GSVGer ).</w:t>
      </w:r>
    </w:p>
    <w:p>
      <w:r>
        <w:rPr>
          <w:b/>
        </w:rPr>
        <w:t>E. 1.2</w:t>
      </w:r>
    </w:p>
    <w:p>
      <w:r>
        <w:t>Nach Art. 36 Abs.</w:t>
      </w:r>
    </w:p>
    <w:p>
      <w:r>
        <w:rPr>
          <w:b/>
        </w:rPr>
        <w:t>E. 2</w:t>
      </w:r>
    </w:p>
    <w:p>
      <w:r>
        <w:t>lit . b der Bundesverfassung der Schweizerischen Eidgenossenschaft , BV ), die Höhe der Renten ist aber gesetzlich festgelegt (vgl. E. 1 .2 ) und diese werden bedarfsunabhängig ausgerichtet . Für Personen, deren Existenzbedarf durch die Leistungen der Alters-, Hinterlassenen- und Invalidenversicherung nicht gedeckt ist, besteht die Möglichkeit, bedarfsabhängige Ergänzungsleistungen zu beantragen, die ihnen unter gegebenen Voraussetzungen ( Art. 4-6 des Bundesgesetzes über Ergänzungsleistungen zur Alters-, Hinterlassenen- und Invalidenversicherung, ELG) vom Bund und von den Kantonen gewährt werden ( Art. 112a Abs. 1 BV und Art. 1 ELG).</w:t>
      </w:r>
    </w:p>
    <w:p>
      <w:r>
        <w:rPr>
          <w:b/>
        </w:rPr>
        <w:t>E. 3</w:t>
      </w:r>
    </w:p>
    <w:p>
      <w:r>
        <w:t>.</w:t>
      </w:r>
    </w:p>
    <w:p>
      <w:r>
        <w:t>Nach dem Gesagten erweist sich der angefochtene Entscheid als rechtens, was zur Abweisung der Beschwerde führt.</w:t>
      </w:r>
    </w:p>
    <w:p>
      <w:r>
        <w:rPr>
          <w:b/>
        </w:rPr>
        <w:t>E.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