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IV.2025.00497 vom 19. Dezember 2025</w:t>
      </w:r>
    </w:p>
    <w:p>
      <w:r>
        <w:t>ZH Sozialversicherungsgericht, 2025-12-19, DE</w:t>
      </w:r>
    </w:p>
    <w:p>
      <w:r>
        <w:rPr>
          <w:b/>
        </w:rPr>
        <w:t xml:space="preserve">Quelle: </w:t>
      </w:r>
      <w:r>
        <w:t>https://mcp.opencaselaw.ch/entscheid/zh_sozialversicherungsgericht_IV.2025.00497</w:t>
      </w:r>
    </w:p>
    <w:p>
      <w:r>
        <w:t>FR: ZH_SOZIALVERSICHERUNGSGERICHT IV.2025.00497 du 19 décembre 2025</w:t>
      </w:r>
    </w:p>
    <w:p>
      <w:r>
        <w:t>IT: ZH_SOZIALVERSICHERUNGSGERICHT IV.2025.00497 del 19 dicembre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1975 , absolvierte in Y.___ eine Ausbildung zur Hoch bauzeichnerin und erlangte</w:t>
      </w:r>
    </w:p>
    <w:p>
      <w:r>
        <w:t>im Jah r 2005 an der Technischen Universität Z.___</w:t>
      </w:r>
    </w:p>
    <w:p>
      <w:r>
        <w:t>das Diplom als Diplomingenieurin im Studiengang Architektur</w:t>
      </w:r>
    </w:p>
    <w:p>
      <w:r>
        <w:t>( Urk.</w:t>
      </w:r>
    </w:p>
    <w:p>
      <w:r>
        <w:t>6/5). Seit dem Jahr 2006 lebt sie in der Schweiz, wo sie im September 2010 Mutter einer Tochter wurde und als Architektin für verschiedene Architekturbüros tätig war</w:t>
      </w:r>
    </w:p>
    <w:p>
      <w:r>
        <w:t>( vgl. Urk. 6/1 - 2, Urk. 6/3 /</w:t>
      </w:r>
    </w:p>
    <w:p>
      <w:r>
        <w:rPr>
          <w:b/>
        </w:rPr>
        <w:t>E. 2</w:t>
      </w:r>
    </w:p>
    <w:p>
      <w:r>
        <w:t>Mitte , Urk. 6/6 Ziff. 4.1 ). Zuletzt war die Versicherte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