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IV.2025.00290 vom 24. November 2025</w:t>
      </w:r>
    </w:p>
    <w:p>
      <w:r>
        <w:t>ZH Sozialversicherungsgericht, 2025-11-24, DE</w:t>
      </w:r>
    </w:p>
    <w:p>
      <w:r>
        <w:rPr>
          <w:b/>
        </w:rPr>
        <w:t xml:space="preserve">Quelle: </w:t>
      </w:r>
      <w:r>
        <w:t>https://mcp.opencaselaw.ch/entscheid/zh_sozialversicherungsgericht_IV.2025.00290</w:t>
      </w:r>
    </w:p>
    <w:p>
      <w:r>
        <w:t>FR: ZH_SOZIALVERSICHERUNGSGERICHT IV.2025.00290 du 24 novembre 2025</w:t>
      </w:r>
    </w:p>
    <w:p>
      <w:r>
        <w:t>IT: ZH_SOZIALVERSICHERUNGSGERICHT IV.2025.00290 del 24 novembre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und betrifft den Anspruch auf Hilfsmittel für die Zeit ab 2 8. Juli 2022, weshalb die ab 1. Januar 2022 gültigen Rechtsvorschriften anwendbar sind.</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1.4</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 4 IVG hat der Bundesrat in Art. 14 IVV an das Eidgenössische Departement des Innern (EDI) übertragen, welches die Ver ordnung über die Abgabe von Hilfsmitteln durch die Invalidenversicherung (HVI) mit anhangsweise aufgeführter Hilfsmittelliste erlassen ha t. Laut Art.</w:t>
      </w:r>
    </w:p>
    <w:p>
      <w:r>
        <w:rPr>
          <w:b/>
        </w:rPr>
        <w:t>E. 1.5</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 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 derung lediglich soweit sicherstellen, als diese im Einzelfall notwendig, aber auch genügend ist und zudem der voraussichtliche Erfolg der Eingliederungsmass nahmen in einem vernünftigen Verhältnis zu ihren Kosten steht (Art. 8 Abs. 1 IVG; BGE 134 V 105 E. 3 mit Hinweisen). Nach der Rechtsprechung bezieht sich die Notwendigkeit des Hilfsmittels auf die konkrete Situation, in welcher die ver sicherte Person lebt (vgl. BGE 135 I 161 E. 5.1; Urteil des Bundesgerichts 9C_272/2018 vom 22. Juni 2018 E. 3.2).</w:t>
      </w:r>
    </w:p>
    <w:p>
      <w:r>
        <w:rPr>
          <w:b/>
        </w:rPr>
        <w:t>E. 1.6</w:t>
      </w:r>
    </w:p>
    <w:p>
      <w:r>
        <w:t>Ziffer 4 HVI-Anhang führt unter dem Titel «Schuhwerk und orthopädische Schuheinlagen» folgende Hilfsmittel auf:</w:t>
      </w:r>
    </w:p>
    <w:p>
      <w:r>
        <w:t>4.01 Orthopädische Massschuhe und orthopädische Serienschuhe einschliesslich Fertigungskosten, sofern eine Versorgung gemäss der Ziffern 4.02-4.04 nicht möglich ist. Die Kostenbeteiligung der versicherten Person beträgt bis zum vollendeten 12. Altersjahr 70 Franken, ab dem vollendeten 12. Altersjahr 120 Fran ken. Bei Reparaturkosten beträgt die Kostenbeteiligung 70 Franken pro Kalender jahr.</w:t>
      </w:r>
    </w:p>
    <w:p>
      <w:r>
        <w:t>4.02 Orthopädische Änderungen und Schuhzurichtungen an Konfektionsschuhen oder orthopädischen Spezialschuhen</w:t>
      </w:r>
    </w:p>
    <w:p>
      <w:r>
        <w:t>4.03 Orthopädische Spezialschuhe</w:t>
      </w:r>
    </w:p>
    <w:p>
      <w:r>
        <w:t>Die Kostenbeteiligung der versicherten Person beträgt bis zum vollendeten 12. Altersjahr 70 Franken, ab dem vollendeten 12. Altersjahr 120 Franken. Bei Reparaturkosten beträgt die Kostenbeteiligung 70 Franken pro Kalenderjahr.</w:t>
      </w:r>
    </w:p>
    <w:p>
      <w:r>
        <w:t>4.04 Invaliditätsbedingter Mehrverbrauch von Konfektionsschuhen</w:t>
      </w:r>
    </w:p>
    <w:p>
      <w:r>
        <w:t>4.05* Orthopädische Schuheinlagen, sofern sie eine notwendige Ergänzung einer medizinischen Eingliederungsmassnahme darstellen.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Gemäss Art. 54a IVG stehen die regionalen ärztlichen Dienste (RAD) den IV Stellen für die Beurteilung der medizinischen Voraussetzungen des Leistungs anspruchs zur Verfügung (Abs. 2). Sie sind in ihrem medizinischen Sachentscheid im Einzelfall unabhängig (Abs. 4). Nach Art. 49 IVV beurteilen die RAD die medizi nischen Voraussetzungen des Leistungsanspruchs. Die geeigneten Prüfme thoden können sie im Rahmen ihrer medizinischen Fachkompetenz und der all gemeinen fachlichen Weisungen des Bundesamtes frei wählen (Abs. 1). Die RAD können Versicherte bei Bedarf selber ärztlich untersuchen. Sie halten die Unter suchungsergebnisse schriftlich fest (Abs. 2).</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(Urteile des Bundes gerichts 8C_574/2023 vom 9. Januar 2024 E. 3.2 und 8C_812/2021 vom 17. Februar 2022 E. 5.2, je mit Hinweisen).</w:t>
      </w:r>
    </w:p>
    <w:p>
      <w:r>
        <w:rPr>
          <w:b/>
        </w:rPr>
        <w:t>E. 1.8</w:t>
      </w:r>
    </w:p>
    <w:p>
      <w:r>
        <w:t>Art. 17 ATSG regelt unter dem Titel der Revision die Voraussetzungen, unter denen eine Invalidenrente und andere Dauerleistungen erhöht, herabgesetzt oder aufgehoben werden können. Im Falle einer Rente ist dafür notwendig, dass sich der Invaliditätsgrad um mindestens 5 Prozentpunkte ändert oder auf 100 % erhöht ( Abs. 1), im Falle jeder anderen formell rechtskräftig zugesprochenen Dau erleistung ist für eine Erhöhung, Herabsetzung oder Aufhebung erforderlich, dass sich der ihr zugrunde liegende Sachverhalt nachträglich erheblich verändert hat.</w:t>
      </w:r>
    </w:p>
    <w:p>
      <w:r>
        <w:t>Nach der Rechtsprechung des Bundesgerichts unterstehen auch die Eingliederungs massnahmen den Revision sbestimmungen (spezifisch zu Hilfsmit tel n vgl. BGE 135 I 161, 113 V 22 E. 3b). Dabei ist rechtsprechungsgemäss der zur Ren ten revision entwickelte Grundsatz sinngemäss anwendbar, wonach die mass ge bliche Sachverhaltsänderung nicht den Gesundheitsschaden betreffen muss, son dern jede Veränderung Anlass zur Revision geben kann, die dazu geeignet ist, den Anspruch zu beeinflussen (vgl. BGE 135 I 161 E. 4.2, 113 V 27 E. 3b).</w:t>
      </w:r>
    </w:p>
    <w:p>
      <w:r>
        <w:t>Zeitlicher Referenzpunkt für die Prüfung einer anspruchserheblichen Änderung bildet die letzte (der versicherten Person eröffnete) rechtskräftige Verfügung, welche auf einer materiellen Prüfung des Anspruchs mit rechtskonformer Sach verhaltsabklärung, Beweiswürdigung und Durchführung eines Einkommensver gleichs (bei Anhaltspunkten für eine Änderung in den erwerblichen Auswirk - un gen des Gesundheitszustands) beruht; vorbehalten bleibt die Rechtsprechung zur Wiedererwägung und zur prozessualen Revision (BGE 134 V 131 E. 3, 133 V 108 E. 5.4; vgl. Urteil des Bundesgerichts 8C_431/2024 vom 16. Dezember 2024 E. 4.4) . Dabei braucht es sich nicht u m eine formelle Verfügung (Art. 49 ATSG) zu handeln. Ändert sich nach durchgeführter Rentenrevision als Ergebnis einer materiellen Prüfung des</w:t>
      </w:r>
    </w:p>
    <w:p>
      <w:r>
        <w:t>Anspruchs nichts und eröffnet die IV-Stelle deswegen das Revisionsergebnis gestützt auf Art. 74 ter</w:t>
      </w:r>
    </w:p>
    <w:p>
      <w:r>
        <w:t>lit . f IVV auf dem W eg der blossen Mit teilung (Art. 51 ATSG), ist im darauf folgenden Revisionsverfahren zeitlich zu ver gleichender Ausgangssachverhalt derjenige, welcher der Mitteilung zugrunde lag (Urteil e des Bun desgerichts 9C_162/2020 vom 16. September 2020 E. 4.1 und 9C_599/2016 vom 29. März 2017 E. 3.1.2 , je mit Hinweisen ).</w:t>
      </w:r>
    </w:p>
    <w:p>
      <w:r>
        <w:rPr>
          <w:b/>
        </w:rPr>
        <w:t>E. 1.9</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Die Wiedererwägung im Sinne von Art. 53 Abs. 2 ATSG dient der Korrektur einer anfänglich unrichtigen Rechtsanwendung einschliesslich unrichtiger Feststellung im Sinne der Würdi gung des Sachverhalts (BGE 148 V 195 E. 5.3; Urteil des Bundesgerichts 8C_335/2022 vom 2. März 2023 E. 2.2).</w:t>
      </w:r>
    </w:p>
    <w:p>
      <w:r>
        <w:t>Die Wiedererwägung nach Art. 53 Abs. 2 ATSG setzt voraus, dass kein vernünf tiger Zweifel an der (von Beginn weg bestehenden) Unrichtigkeit der Verfügung möglich, also einzig dieser Schluss denkbar ist (BGE 148 V 195 E. 5.3). In diesem Sinne qualifiziert unrichtig ist eine Verfügung, wenn eine Leistung aufgrund fal scher Rechtsregeln beziehungsweise ohne oder in unrichtiger Anwendung der massgeblichen Bestimmungen zugesprochen wurde (BGE 141 V 405 E. 5.2, 140 V 77 E. 3.1 mit Hinweis). Gleiches gilt bei einer klaren Verletzung des Untersuchungs grundsatzes, insbesondere wenn die notwendigen fachärztlichen Abklärungen überhaupt nicht oder nicht mit der erforderlichen Sorgfalt durch geführt wurden (vgl. Art. 43 ATSG; BGE 141 V 405 E. 5.2; Urteil des Bundesge richts 9C_343/2021 vom 26. Oktober 2021 E. 3.1 mit Hinweisen). Soweit ermessens geprägte Teile der Anspruchsprüfung vor dem Hintergrund der Sach- und Rechtslage einschliesslich der Rechtspraxis im Zeitpunkt der rechtskräftigen Leistungszusprechung in vertretbarer Weise beurteilt worden sind, scheidet die Annahme zweifelloser Unrichtigkeit aus (BGE 148 V 195 E. 5.3 mit Hinweisen; vgl. statt vieler: Urteil des Bundesgerichts 9C_344/2023 vom 31. Januar 2024 E. 5.2).</w:t>
      </w:r>
    </w:p>
    <w:p>
      <w:r>
        <w:t>Nach ständiger Rechtsprechung kann das Gericht eine zunächst auf Art. 17 ATSG gestützte Rentenaufhebung oder -herabsetzung gegebenenfalls mit der (substituierten)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 sicherung, 4. Aufl. 2022, N. 77 zu Art. 30). Dieses Instrument ist grundsätzlich nicht auf Rentenverfügungen begrenzt. Die Rechtsmittelinstanz kann, sofern die Verwaltung eine bestimmte Anpassung unter dem falschen Titel (etwa: prozessu ale oder materielle Revision) vorgenommen hat, die im Ergebnis gleiche Anpas sung anders (substituiert) begründen, etwa mit der anfänglichen Unrichtigkeit, die zur Wiedererwägung führt (Diana Oswald, in: Kieser/Kradolfer/ Lendfers , ATSG-Kommentar, 5. Aufl. 2024, Art. 53 N.44).</w:t>
      </w:r>
    </w:p>
    <w:p>
      <w:r>
        <w:rPr>
          <w:b/>
        </w:rPr>
        <w:t>E. 2</w:t>
      </w:r>
    </w:p>
    <w:p>
      <w:r>
        <w:t>HVI besteht im Rahmen der im Anhang aufgeführten Liste Anspruch auf Hilfsmittel, soweit diese für die Fortbewegung, die Herstellung des Kontaktes mit der Umwelt oder für die S 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 ; Urteil des Bundesgerichts 9C_647/2018 vom 1. Februar 2019 E. 3.3 ).</w:t>
      </w:r>
    </w:p>
    <w:p>
      <w:r>
        <w:rPr>
          <w:b/>
        </w:rPr>
        <w:t>E. 2.1</w:t>
      </w:r>
    </w:p>
    <w:p>
      <w:r>
        <w:t>Die Beschwerdegegnerin begründete den angefochtenen Entscheid ( Urk. 2) wie folgt: Orthopädische Massschuhe und orthopädische Serienschuhe einschliesslich Fertigungskosten könnten vergütet werden, wenn die Versorgung mit orthopä disch geänderten Konfektionsschuhen, Spezialschuhen oder Schuhen verschie dener Grössen nicht möglich sei (S. 1). Flexible Knick-Senkfüsse könnten wirksam, zweckmässig und wirtschaftlich mit orthopädischen Schuheinlagen behan delt werden. Die im orthopädischen Bericht vom 1 6. Juli 2024 verordnete Fuss bettung entspreche funktionell einer Einlage. Im Bericht würden gerade Rück fussachsen und ein stabiler Bandapparat beschrieben. Eine Rückfuss - stabilisierung durch das Schuhwerk sei demnach nicht erforderlich. Das Gangbild werde als hinkfrei angegeben, weshalb nicht ersichtlich sei, weshalb Anpas - sungen zur Stabili sierung des Gangbildes erforderlich sein sollten. Gemäss Bericht sei seit Jahren eine Schuhanpassung mit Einlagen ausreichend. Eine ausführliche Begrün dung durch den behandelnden Arzt sei trotz mehrfacher Aufforderung nicht erfolgt. Aus versicherungsmedizinischer Sicht könnten die Knick-Senkfüsse mit orthopädischen Serienschuhen kompensiert werden. Es sei aber nicht hinrei chend belegt, weshalb eine Versorgung mit orthopädischen Einlagen und allfäl liger Zurichtung von Konfektionsschuhen nicht ausreiche. Eine Kostenübernahme für orthopädische Serienschuhe werde deshalb abgelehnt. Sofern Abrollhilfen und Pufferabsätze indiziert seien, könne eine zusätzliche Zurichtung an geeigneten Konfektionsschuhen erfolgen (S. 2).</w:t>
      </w:r>
    </w:p>
    <w:p>
      <w:r>
        <w:t>In ihrer Beschwerdeantwort ( Urk. 7) hielt die Beschwerdegegnerin fest, nach Ein schätzung des RAD sei mit dem Wegfall des Schonhinkens und der Fasziitis plantaris tendenziell eher von einer verbesserten Befundlage gegenüber 2013 aus zugehen (S. 1). Es liege</w:t>
      </w:r>
    </w:p>
    <w:p>
      <w:r>
        <w:t>ein Revisionsgrund vor . Zudem sei die Zuspr echung der orthopädischen Serienschuhe zweifellos unrichtig gewesen, da der RAD nicht konsultiert und auch nicht näher geprüft worden sei, ob die Voraussetzungs kriterien erfüllt gewesen seien. Die Indikation orthopädischer Serienschuhe sei seit je her nicht gegeben. Knick-Senkfüsse könnten wirksam und zweckmässig mit orthopädischen Schuheinlagen versorgt werden. Diese fielen nur in den Leistungsbe reich der Invalidenversicherung, wenn sie eine notwendige Ergän zung einer medizinischen Eingliederungsmassnahme darstellten, was beim Beschwerde führer nicht der Fall sei. Ein Anspruch auf Hilfsmittel gemäss Ziff. 4.02 bis 4.04 HVI sei ebenfalls nicht gegeben (S. 2).</w:t>
      </w:r>
    </w:p>
    <w:p>
      <w:r>
        <w:t>In ihrer Duplik ( Urk. 17) hielt die Beschwerdegegnerin fest, gemäss RAD sei auf grund der dokumentierten Befunde und Fussaufnahmen eine Versorgung durch Schuhanpassung mit Einlagen ausreichend (S. 1).</w:t>
      </w:r>
    </w:p>
    <w:p>
      <w:r>
        <w:rPr>
          <w:b/>
        </w:rPr>
        <w:t>E. 2.2</w:t>
      </w:r>
    </w:p>
    <w:p>
      <w:r>
        <w:t>Der Beschwerdeführer machte geltend ( Urk. 1), es sei bereits 2013 die Diagnose von Knick-, Senk- und Spreizfüssen beidseits mit Fasciitis plantaris rechtsbetont gestellt worden, weshalb orthopädische Serienschuhe notwendig seien. Eine Ein lage sei nicht ausreichend gewesen . Er habe Anspruch auf das Hilfsmittel, da dieses zumindest für die Fortbewegung, die Herstellung des Kontaktes mit der Umwelt oder für die Selbstfürsorge, wenn nicht sogar zur Erhaltung und Verbes serung der Erwerbsfähigkeit notwendig sei (S. 4 Ziff. 9). Die Beschwerdegegnerin habe, ohne eine Begründung des behandelnden Arztes einzuholen, ihren Ent scheid gefällt. Aufgrund der Stellungnahme des RAD-Arztes sei nicht erstellt, dass sich die gesundheitliche Situation verändert oder verbessert habe, da dieser grundsätzlich orthopädische Schuheinlagen empfohlen habe , aber nicht medizi nisch begründen könne, weshalb diese ausreichten. Weiter äussere er sich nicht zur Frage, ob sich der Gesundheitszustand verändert habe (S. 5 Ziff. 13-15). Es sei weiterhin nicht geklärt, ob seit 2013 eine anspruchsrelevante Veränderung eingetreten sei und welche Massnahmen gemäss Ziff.</w:t>
      </w:r>
    </w:p>
    <w:p>
      <w:r>
        <w:rPr>
          <w:b/>
        </w:rPr>
        <w:t>E. 2.3</w:t>
      </w:r>
    </w:p>
    <w:p>
      <w:r>
        <w:t>Streitig und zu prüfen ist der Anspruch des Beschwerdeführers auf Kosten über nahme für orthopädische Serienschuhe. Dabei bildet die Mitteilung vom 4. Februar 2013 ( Urk. 10/110) den zeitlichen Referenzpunkt zur Beurteilung einer anspruchsre levanten Veränderung (vgl. vorstehend E. 1.8), da diese auf zwei ärztlichen Beurteilungen ( Urk. 10/108; Urk. 10/111)</w:t>
      </w:r>
    </w:p>
    <w:p>
      <w:r>
        <w:t>beruhte. Die Mitteilung vom 15. Januar 2018 ( Urk. 10/132) erging demgegenüber lediglich gestützt auf eine ärztli che Verordnung ( Urk. 10/130); das dem behandelnden Arzt zugestellte Berichts formular ( Urk. 10/127) wurde nicht ausgefüllt, so dass diesbezüglich nicht von einer umfassenden Anspruchsprüfung im Sinne der Rechtsprechung ausge gangen werden kann. 3. 3.1</w:t>
      </w:r>
    </w:p>
    <w:p>
      <w:r>
        <w:t>Dem Gesuch betreffend orthopädische Serienschuhe vom 2 6. Juni 2012 ( Urk. 10 /104) lag ein Bericht von Dr. med. Z.___ , Facharzt für Chi rurgie, vom 2</w:t>
      </w:r>
    </w:p>
    <w:p>
      <w:r>
        <w:rPr>
          <w:b/>
        </w:rPr>
        <w:t>E. 4</w:t>
      </w:r>
    </w:p>
    <w:p>
      <w:r>
        <w:t>HVI-Anhang ihm zustehen würden (S. 6 Ziff. 17).</w:t>
      </w:r>
    </w:p>
    <w:p>
      <w:r>
        <w:t>In seiner Replik ( Urk. 14) wies der Beschwerde führer darauf hin, dass d ie von der Beschwerdegegnerin im Beschwerdeverfahren eingereichte Stellungnahme des RAD auf den gleichen – unvollständigen - medizini schen Akten</w:t>
      </w:r>
    </w:p>
    <w:p>
      <w:r>
        <w:t>basiere , weshalb darauf nicht abgestellt werden könne (S. 2 Ziff.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