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IV.2025.00224 vom 10. Juni 2025</w:t>
      </w:r>
    </w:p>
    <w:p>
      <w:r>
        <w:t>ZH Sozialversicherungsgericht, 2025-06-10, DE</w:t>
      </w:r>
    </w:p>
    <w:p>
      <w:r>
        <w:rPr>
          <w:b/>
        </w:rPr>
        <w:t xml:space="preserve">Quelle: </w:t>
      </w:r>
      <w:r>
        <w:t>https://mcp.opencaselaw.ch/entscheid/zh_sozialversicherungsgericht_IV.2025.00224</w:t>
      </w:r>
    </w:p>
    <w:p>
      <w:r>
        <w:t>FR: ZH_SOZIALVERSICHERUNGSGERICHT IV.2025.00224 du 10 juin 2025</w:t>
      </w:r>
    </w:p>
    <w:p>
      <w:r>
        <w:t>IT: ZH_SOZIALVERSICHERUNGSGERICHT IV.2025.00224 del 10 giugno 2025</w:t>
      </w:r>
    </w:p>
    <w:p>
      <w:pPr>
        <w:pStyle w:val="Heading2"/>
      </w:pPr>
      <w:r>
        <w:t>Erwägungen</w:t>
      </w:r>
    </w:p>
    <w:p>
      <w:r>
        <w:rPr>
          <w:b/>
        </w:rPr>
        <w:t>E. 1.1</w:t>
      </w:r>
    </w:p>
    <w:p>
      <w:r>
        <w:t>w erde die mit BGE 137 V 210 E.</w:t>
      </w:r>
    </w:p>
    <w:p>
      <w:r>
        <w:t>3.4.2.7 formulierte Rechtsprechung bestätigt. Die Erwägungen des Bundesgerichts spr ächen somit viel eher dafür, dass die bisherige Rechtsprechung auch nach der Revision von Art.</w:t>
      </w:r>
    </w:p>
    <w:p>
      <w:r>
        <w:t>44 ATSG per 1.</w:t>
      </w:r>
    </w:p>
    <w:p>
      <w:r>
        <w:t>Januar 2022 Bestand haben soll e ( Urteil vom 11.</w:t>
      </w:r>
    </w:p>
    <w:p>
      <w:r>
        <w:t>April 2025 des hiesigen Gerichts im Verfahren-Nr. IV.2024.00644 E. 4.3.4) .</w:t>
      </w:r>
    </w:p>
    <w:p>
      <w:r>
        <w:rPr>
          <w:b/>
        </w:rPr>
        <w:t>E. 1.2</w:t>
      </w:r>
    </w:p>
    <w:p>
      <w:r>
        <w:t>Im Hinblick auf eine einheitliche Regelung für alle Sozialversicherungen wurden die Partizipationsrechte der Versicherten und die Rolle der Durchführungsstellen im Rahmen des Amtsermittlungsverfahrens neu auf Gesetzesstufe verankert. Unter anderem w u rden die Abklärungsmassnahmen insbesondere i m Zusammen hang mit medizinischen Begutachtungen in Art. 44 ATSG einheitlich geregelt : Erachtet der Versicherungsträger ein Gutachten als notwendig, so legt er, je nach Erfordernis, die Art fest (mono-, bi- oder polydisziplinär; Abs. 1). Ist ein Gut ach ten bei einem oder mehreren unabhängigen Sachverständigen einzuholen, so gibt der Versicherungsträger der Partei deren Namen bekannt. Diese kann innert zehn Tagen aus den Gründen nach Art. 36 Abs. 1 ATSG Sachverständige ab lehnen und Gegenvorschläge machen (Abs. 2). Mit der Bekanntgabe der Namen stellt der Versicherungsträger der Partei auch die Fragen an den oder die Sach verständigen zu und weist sie auf die Möglichkeit hin, innert der gleichen Frist Zusatzfragen in schriftlicher Form einzureichen. Der Versicherungsträger ent scheidet abschliessend über die Fragen an den oder die Sachverständigen (Abs. 3). Hält er trotz Ablehnungsantrag an den vorgesehenen Sachverständigen fest, so teilt er dies der Partei durch Zwischenverfügung mit (Abs. 4). Bei mono- und bidiszipli nären Gutachten werden die Fachdisziplinen vom Versicherungsträger, bei poly disziplinären Gutachten von der Gutachterstelle abschliessend festgelegt (Abs. 5). 1 .3</w:t>
      </w:r>
    </w:p>
    <w:p>
      <w:r>
        <w:t>Gemäss Randziffer 3067.1 des Kreisschreibens über das Verfahren in der In vali denversicherung (KSVI), gültig ab 1. Januar 2022, Stand 1. Januar 2025 , ent scheidet die IV-Stelle abschliessend, ob und in welcher Form (mono-, bi- oder polydisziplinär) ein externes medizinisches Gutachten erstellt wird. Bestreitet die versicherte Person diesen Entscheid, so ist keine Zwischenverfügung zu erlassen.</w:t>
      </w:r>
    </w:p>
    <w:p>
      <w:r>
        <w:rPr>
          <w:b/>
        </w:rPr>
        <w:t>E. 1.4</w:t>
      </w:r>
    </w:p>
    <w:p>
      <w:r>
        <w:t>Verwaltungsweisungen, wie etwa Wegleitungen oder Kreisschreiben, richten sich an die Durchführungsstellen und sind für das Sozialversicherungs 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 anwen dung zu gewährleisten, Rechnung getragen (BGE 146 V 224 E. 4.4.2, 141 V 365 E. 2.4 mit Hinweisen).</w:t>
      </w:r>
    </w:p>
    <w:p>
      <w:r>
        <w:rPr>
          <w:b/>
        </w:rPr>
        <w:t>E. 1.5</w:t>
      </w:r>
    </w:p>
    <w:p>
      <w:r>
        <w:t>Als Minimalanforderung an ein rechtsstaatliches Ver fahren gewährleistet Art. 29 Abs. 1 der Bundesverfassung (BV) den Erlass eines Entscheides innerhalb einer angemessenen Frist (BGE 144 II 486 E. 3.2). Eine Verletzung von Art. 29 Abs. 1 BV – sowie gegebenenfalls von Art. 6 Ziff. 1 der Europäischen Menschenrechts konvention (EMRK; BGE 130 I 174 m.w.H .) – liegt nach der Rechtsprechung unter anderem dann vor, wenn eine Gerichts- oder Verwaltungsbehörde ein Gesuch, dessen Erledigung in ihre Kompetenz fällt, nicht an die Hand nimmt und behan delt. Ein solches Verhalten einer Behörde, welche pflichtwidrig völlig untätig bleibt oder auf eine ihr frist- und formgerecht unter breitete Sache nicht eintritt, obschon sie darüber befinden müsste, wird in der Rechtsprechung als formelle Rechtsverweigerung bezeichnet (vgl. BGE 135 I 6 E. 2.1, 134 I 229 E. 2.3, 133 V 188 E. 3.2; vgl. auch Urteil des Bundesgerichts 2C_526/2020 vom 20. Oktober 2020 E. 3.6.2). Art. 29 Abs. 1 BV ist aber auch verletzt, wenn die zuständige Behörde sich zwar bereit zeigt, einen Entscheid zu treffen, diesen aber nicht binnen der Frist fasst, welche nach der Natur der Sache und nach der Gesamtheit der übrigen Umstände als angemessen erscheint (Rechtsverzögerung); die Ange messenheit der Dauer bestimmt sich nicht absolut. Sie ist im Einzelfall unter Berücksichtigung der gesamten Umstände einer Ange legenheit wie der Art, Bedeutung und des Umfangs des Verfahrens, der Schwierigkeit der Materie, des Verhaltens der Beteiligten, der Bedeutung für die Betroffenen sowie der für die Sache spezifischen Entscheidungsabläufe zu prüfen (vgl. BGE 144 II 486 E. 3.2; Urteil des Bundesgerichts 9C_315/2018 vom 5. März 2019 E. 3.2.1). Für die Rechtsuchenden ist es unerheblich, auf welche Gründe – beispielsweise auf ein Fehlverhalten der Behörde oder auf andere Umstände – die Rechtsverweigerung oder Rechtsverzögerung zurückzuführen ist; entscheidend ist ausschliesslich, dass die Behörde nicht oder nicht fristgerecht handelt. Bei der Feststellung einer über mässigen Verfahrensdauer ist daher zu prüfen, ob sich die Umstände, die zur Verlängerung des Verfahrens geführt haben, objektiv rechtfer tigen lassen (vgl. BGE 144 II 486 E. 3.2; Urteil des Bundesgerichts 9C_315/2018 vom 5. März 2019 E. 3.2.1).</w:t>
      </w:r>
    </w:p>
    <w:p>
      <w:r>
        <w:rPr>
          <w:b/>
        </w:rPr>
        <w:t>E. 2</w:t>
      </w:r>
    </w:p>
    <w:p>
      <w:r>
        <w:t>Mit Eingabe vom 20. März 2025 erhob die Versicherte Beschwerde beim hiesigen Gericht und beantragte, es sei festzustellen, dass eine Rechtsverweigerung vorliege. Die Angelegenheit sei an die Beschwerdegegnerin zurückzuweisen, und diese sei zu verpflichten, eine formelle Zwischenverfügung über die geplante Begutachtung zu erlassen. In prozessualer Hinsicht beantragte sie die Gewährung der unentgeltlichen Prozessführung (Urk. 1). Mit Beschwerdeantwort vom 19. Mai 2025 beantragte die Beschwerdegegnerin, auf die Beschwerde sei nicht einzutreten (Urk. 6). Das Gericht zieht in Erwägung: 1.</w:t>
      </w:r>
    </w:p>
    <w:p>
      <w:r>
        <w:rPr>
          <w:b/>
        </w:rPr>
        <w:t>E. 2.1</w:t>
      </w:r>
    </w:p>
    <w:p>
      <w:r>
        <w:t>Die Beschwerdeführerin brachte vor, sie habe mehrfach beantragt, es sei auf eine erneute Begutachtung zu verzichten. Gemäss höchstrichterlicher Rechtsprechung sei die Anordnung einer Begutachtung bei fehlendem Konsens grundsätzlich in Form einer anfechtbaren Zwischenverfügung zu erlassen. Das Sozialversiche rungsgericht habe in seiner jüngeren Rechtsprechung wiederholt festgehalten, dass dies auch unter der seit 1. Januar 2022 herrschenden Rechtlage gelte. Bei bestehender Uneinigkeit über die Notwendigkeit einer erneuten Begutachtung hätte die Beschwerdegegnerin eine Zwischenverfügung erlassen müssen. Da sie dies unterlassen habe, habe sie den Tatbestand der formellen Rechtsverweigerung erfüllt (Urk. 1).</w:t>
      </w:r>
    </w:p>
    <w:p>
      <w:r>
        <w:rPr>
          <w:b/>
        </w:rPr>
        <w:t>E. 2.2</w:t>
      </w:r>
    </w:p>
    <w:p>
      <w:r>
        <w:t>Die Beschwerdegegnerin hielt in ihrer Vernehmlassung indes fest, Art. 44 Abs. 4 ATSG statuiere den Erlass einer Zwischenverfügung in Begutachtungsverfahren explizit und einzig für denjenigen Fall, in welchem die IV-Stelle trotz Ableh nungsantrags der versicherten Person wegen Ausstandsgründen an den vorgese henen Sachverständigen festhalte. Der Wortlaut dieser Bestimmung sei eindeutig und klar. Eine Auslegung dürfe nur dann vom Wortlaut abweichen, wenn triftige Gründe dafür bestünden, dass er nicht den wahren Sinn der Bestimmung wieder gebe. Solche triftigen Gründe ergäben sich weder aus der Entstehungsgeschichte noch aus dem Sinn und Zweck dieser Vorschrift oder aus dem Zusammenhang mit anderen Gesetzesbestimmungen. Die Beschwerdeführerin habe im vorliegen den Verfahren nur Einwände gegen die Begutachtung als solche erhoben, indem sie geltend gemacht habe, es liege eine unnötige « second</w:t>
      </w:r>
    </w:p>
    <w:p>
      <w:r>
        <w:t>opinion » vor. Dieser Einwand sei materieller Natur, welcher im Rahmen der Beweiswürdigung in der Hauptsache behandelt werden könne, weshalb der Beschwerdeführerin dadurch auch kein nicht wieder gut zu machender Nachteil entstehe (Urk. 6).</w:t>
      </w:r>
    </w:p>
    <w:p>
      <w:r>
        <w:rPr>
          <w:b/>
        </w:rPr>
        <w:t>E. 3</w:t>
      </w:r>
    </w:p>
    <w:p>
      <w:r>
        <w:t>. 00352 erfolgte eine eingehende Auseinandersetzung mit dieser Frage (vgl. die dortigen E. 3.2-3.3) . Das Gericht gelangte zum Schluss, es sei nicht davon auszugehen, dass der Gesetzgeber mit der Neufassung von Art.</w:t>
      </w:r>
    </w:p>
    <w:p>
      <w:r>
        <w:t>44 ATSG von der bisher igen Rechtsprechung des Bundesgerichts zu den Mitwirkungsrechten der versicherten Person im Zusammenhang mit der Anordnung von Administrativ gutachten (BGE 137 V 210, 138 V 271, 139 V 349 und 140 V 507) habe abweichen wolle n . Vielmehr sei davon auszugehen, dass der Gesetzgeber die bisherige Recht sprechung zu den Mitwirkungsrechten in Konformität zur BV und zur EMRK auf Gesetzesstufe habe kodifizieren woll en . Demzufolge sei davon auszugehen, dass die Bestimmung von Art.</w:t>
      </w:r>
    </w:p>
    <w:p>
      <w:r>
        <w:t>44 ATSG auch nach deren am 1.</w:t>
      </w:r>
    </w:p>
    <w:p>
      <w:r>
        <w:t>Januar 2022 in Kraft getretenen Änderung keine abschliessende Regelung der Mitwirkungsrechte der versicherten Person bei der Anordnung von Administrativgutachten enth alte , dass auf die Mitwirkungsrechte bei der Gutachtensanordnung weiterhin gemäss Art.</w:t>
      </w:r>
    </w:p>
    <w:p>
      <w:r>
        <w:t>55 Abs. 1 ATSG die Bestimmungen des Bundesgesetzes über das Verwal tungsverfahren (Verwaltungsverfahrensgesetz, VwVG) und namentlich Art.</w:t>
      </w:r>
    </w:p>
    <w:p>
      <w:r>
        <w:t>57 des Bundesgesetzes über den Bundeszivilprozess ( BZP ) anzuwenden s eien , und dass der diesbezüglichen bisherigen Rechtsprechung ( BGE 137 V 210, 138 V 271, 139 V 349 und 140 V 507 ) grundsätzlich weiterhin Geltung zukomm e (E. 3.4) .</w:t>
      </w:r>
    </w:p>
    <w:p>
      <w:r>
        <w:t>Vor diesem Hintergrund entspr eche die für das Gericht nicht verbindliche Verwal tungsweisung von KSVI Rz</w:t>
      </w:r>
    </w:p>
    <w:p>
      <w:r>
        <w:t>3067.1 ( vgl. vorstehend e E.</w:t>
      </w:r>
    </w:p>
    <w:p>
      <w:r>
        <w:t>1.3), insoweit sie die Gutachtensanordnung als solche («Die IV-Stelle entscheidet abschliessend, ob […] ein externes medizinisches Gutachten erstellt wird.») sinngemäss der abschlies senden Entscheidung des Versicherungsträgers zuweis e und von einer anfechtba ren Zwischenverfügung ausschliess e , weder dem Wortlaut von Art.</w:t>
      </w:r>
    </w:p>
    <w:p>
      <w:r>
        <w:t>44 ATSG, in der ab 1.</w:t>
      </w:r>
    </w:p>
    <w:p>
      <w:r>
        <w:t>Januar 2022 geltenden Fassung, noch dem Sinn dieser Bestimmung und widerspr eche der erwähnten, bisherigen Rechtsprechung. In diesem Punkt stell e die Verwaltungsweisung von KSVI Rz</w:t>
      </w:r>
    </w:p>
    <w:p>
      <w:r>
        <w:t>3067.1 daher keine dem Einzelfall ange passte und gerecht werdende Auslegung der anwendbaren gesetzlichen Bestim mungen dar ( E. 3.5 mit Hinweis auf die Urteile des hiesigen Gerichts IV.2023.00169 vom 30.</w:t>
      </w:r>
    </w:p>
    <w:p>
      <w:r>
        <w:t>August 2023 E. 3.6 und IV.2022.00385 vom 2.</w:t>
      </w:r>
    </w:p>
    <w:p>
      <w:r>
        <w:t>März 2023 E.</w:t>
      </w:r>
    </w:p>
    <w:p>
      <w:r>
        <w:t>4.5). Es handle sich um nicht personenbezogene materielle Einwendungen, wenn geltend gemacht werde , die in Aussicht genommene Begutachtung sei nicht notwendig und es handle sich dabei um eine unzulässige « second</w:t>
      </w:r>
    </w:p>
    <w:p>
      <w:r>
        <w:t>opinion ». Bei fehlendem Konsens über die Begutachtung genüge eine blosse Mitteilung für die Gutachtensanordnung daher nicht. Vielmehr sei die Beschwerdegegnerin gehal ten, die Begutachtung mittels einer formellen Zwischenverfügung (Art.</w:t>
      </w:r>
    </w:p>
    <w:p>
      <w:r>
        <w:t>49 ATSG in Verbindung mit Art.</w:t>
      </w:r>
    </w:p>
    <w:p>
      <w:r>
        <w:rPr>
          <w:b/>
        </w:rPr>
        <w:t>E. 3.1</w:t>
      </w:r>
    </w:p>
    <w:p>
      <w:r>
        <w:t>ausgeführt – für das erstinstanzliche Verfahren. Diesen Einwand ha be das kantonale Gericht bei der Überprüfung des Zwischenentscheids zu prüfen. Dass sich die Eintretensvoraus setzungen im erstinstanzlichen Verfahren und im bunde s gerichtlichen Verfahren in Bezug auf Zwischenentscheide zu Gutachtensanordnungen untersch ie den, erg ebe sich (auch) insofern aus E.</w:t>
      </w:r>
    </w:p>
    <w:p>
      <w:r>
        <w:t>4.3.1, als in dieser Erwägung BGE 138 V 271 E.</w:t>
      </w:r>
    </w:p>
    <w:p>
      <w:r>
        <w:rPr>
          <w:b/>
        </w:rPr>
        <w:t>E. 3.2</w:t>
      </w:r>
    </w:p>
    <w:p>
      <w:r>
        <w:t>Im Urteil vom 20. Oktober 2023 des hiesigen Gerichts im Verfahren-Nr. IV.202</w:t>
      </w:r>
    </w:p>
    <w:p>
      <w:r>
        <w:rPr>
          <w:b/>
        </w:rPr>
        <w:t>E. 3.3</w:t>
      </w:r>
    </w:p>
    <w:p>
      <w:r>
        <w:t>Das hiesige Gericht ging im kürzlich ergangenen, noch nicht rechtskräftigen, Urteil vom 11. April 2025 (IV.2024.00644) auf das auch im vorliegenden Fall von der Beschwerdegegnerin zitierte Urteil des Bundesgerichts 8C_167/2024 ein (E. 4.3) : Das Bundesgericht trat mit besagtem Urteil vom 15.</w:t>
      </w:r>
    </w:p>
    <w:p>
      <w:r>
        <w:t>April 2024 auf die Beschwerde eines Versicherten gegen den Entscheid VBE.2023.347 des Versiche rungsgerichts des Kantons Aargau vom 29.</w:t>
      </w:r>
    </w:p>
    <w:p>
      <w:r>
        <w:t>Januar 2024 nicht ein , da d er Einwand, bei einer (erneuten) Begutachtung handle es sich um eine unnötige second</w:t>
      </w:r>
    </w:p>
    <w:p>
      <w:r>
        <w:t>opinion , gemäss bundesgerichtlicher Rechtsprechung nicht formeller, sondern materieller Natur sei , weshalb er erst im Rahmen der Beweiswürdigung in der Hauptsache zu behandeln sei ( E.</w:t>
      </w:r>
    </w:p>
    <w:p>
      <w:r>
        <w:t>4.3.1 des Urteils).</w:t>
      </w:r>
    </w:p>
    <w:p>
      <w:r>
        <w:t>Das hiesige Gericht erwog unter Hinweis auf dieses Urteil, d araus könne für die strittige Frage, ob der Versicherungsträger auch unter der neuen Rechtslage eine anfechtbare Zwischenverfügung erlassen m üsse , wenn geltend gemacht w erde , die Begutachtung sei gar nicht notwendig, nichts zu Gunsten der IV-Stelle abge leitet werden. Der bundesgerichtliche Entscheid sei vor dem Hintergrund zu sehen, dass im erstinstanzlichen Verfahren auf Zwischenentscheide zu Gutach tensanordnungen einzutreten sei , während dies im bundesgerichtlichen Verfah ren in der Regel nicht der Fall sei. E. 4.3.1 des bundesgerichtlichen Urteils g elte in Bezug auf das bundesgerichtliche Verfahren. Das Bundesgericht prüf e den Einwand, es handle sich um eine unnötige « second</w:t>
      </w:r>
    </w:p>
    <w:p>
      <w:r>
        <w:t>opinion » , erst im Rahmen der Beweiswürdigung in der Hauptsache. Entsprechendes g elte indessen nicht – wie in BGE 137 V 210 E.</w:t>
      </w:r>
    </w:p>
    <w:p>
      <w:r>
        <w:t>3.4.2.7 und BGE 140 V 507 E.</w:t>
      </w:r>
    </w:p>
    <w:p>
      <w:r>
        <w:rPr>
          <w:b/>
        </w:rPr>
        <w:t>E. 3.4</w:t>
      </w:r>
    </w:p>
    <w:p>
      <w:r>
        <w:t>Es ist somit daran festzuhalten, dass die Beschwerdegegnerin auch unter der Herr schaft der Neufassung von Art. 44 ATSG eine anfechtbare Zwischenverfügung über die Anordnung einer Begutachtung zu erlassen hat, wenn die zu begutach tende Person mit dieser Anordnung etwa unter dem Hinweis auf eine unnötige Begutachtung bzw. unzulässige « second</w:t>
      </w:r>
    </w:p>
    <w:p>
      <w:r>
        <w:t>opinion » nicht einverstanden ist. Die Frage, ob der Sachverhalt liquide ist oder nicht, ist Gegenstand des zu erlassenden Zwischenentscheids betreffend Begutachtungsanordnung. Es ist zu beachten, dass es sich bei der zu erlassenden Zwischenverfügung um eine einheitliche Zwischenverfügung über die Beweisvorkehr an sich handelt, in welcher sämtliche formellen und materiellen Einwände der versicherten Person integral in Form eines anfechtbaren Zwischenentscheids beurteilt werden (BGE 139 V 349 E.</w:t>
      </w:r>
    </w:p>
    <w:p>
      <w:r>
        <w:t>5.2.2.3). Andernfalls könnten je nach Einwänden der versicherten Person mehrere zeitlich gestaffelte Zwischenverfügungen betreffend die Anord nung einer Begutachtung, den Fragenkatalog und die gewählten Gutachter (zunächst bezüglich der medizinischen Fachgebiete, hernach wegen Ablehnungs gründen gegen die einzelnen Gutachter, etwa wegen deren Fachkompetenz) anfallen, was zu gänzlich unangemessenen Verfahrensdauern führen könnte (vgl. das Urteil vom 11.</w:t>
      </w:r>
    </w:p>
    <w:p>
      <w:r>
        <w:t>April 2025 des hiesigen Gerichts im Verfahren-Nr.</w:t>
      </w:r>
    </w:p>
    <w:p>
      <w:r>
        <w:t>IV.2024.00644 E. 4.4 mit weiteren Hinweisen). Vorliegend wurden sowohl der Fragenkatalog, die Gutachtensstelle sowie die gewählten Gutachter bekanntgege ben, wogegen die Beschwerdeführerin nichts einzuwenden hatte. Ihr Einwand beschränkte sich einzig darauf, es liege eine unzulässige « second</w:t>
      </w:r>
    </w:p>
    <w:p>
      <w:r>
        <w:t>opinion » vor. 4.</w:t>
      </w:r>
    </w:p>
    <w:p>
      <w:r>
        <w:t>Die Beschwerdegegnerin hätte somit dem Gesuch der Beschwerdeführerin um Erlass einer anfechtbaren Zwischenverfügung entsprechen müssen. Indem sie dies unterliess, hat sie den Tatbestand der formellen Rechtsverweigerung (E.</w:t>
      </w:r>
    </w:p>
    <w:p>
      <w:r>
        <w:t>1.5) erfüllt. Die Beschwerde ist daher gutzuheissen und die Beschwerdegegnerin anzuweisen , in Bezug auf die Anordnung der vorgesehenen Begutachtung eine formelle Zwischenverfügung zu erlasse n .</w:t>
      </w:r>
    </w:p>
    <w:p>
      <w:r>
        <w:rPr>
          <w:b/>
        </w:rPr>
        <w:t>E. 5</w:t>
      </w:r>
    </w:p>
    <w:p>
      <w:r>
        <w:t>VwVG) anzuordnen (E. 3.6) .</w:t>
      </w:r>
    </w:p>
    <w:p>
      <w:r>
        <w:rPr>
          <w:b/>
        </w:rPr>
        <w:t>E. 5.1</w:t>
      </w:r>
    </w:p>
    <w:p>
      <w:r>
        <w:t>Bei der Rechtsverweigerungsbeschwerde handelt es sich nicht um eine Leistungs streitigkeit im Sinne von Art. 69 Abs. 1 bis IVG, weshalb das vorliegende Verfahren kostenlos ist. Damit erweist sich das Gesuch um unentgeltliche Prozessführung als gegenstandslos.</w:t>
      </w:r>
    </w:p>
    <w:p>
      <w:r>
        <w:rPr>
          <w:b/>
        </w:rPr>
        <w:t>E. 5.2</w:t>
      </w:r>
    </w:p>
    <w:p>
      <w:r>
        <w:t>Der Vertreterin der Beschwerdeführerin steht als Institution der öffentlichen Sozialhilfe keine Parteientschädigung zu (BGE 126 V 11 E.</w:t>
      </w:r>
    </w:p>
    <w:p>
      <w:r>
        <w:t>5; Urteil des Bundes gerichts 8C_52/2022 vom 2.</w:t>
      </w:r>
    </w:p>
    <w:p>
      <w:r>
        <w:t>Juni 2022 E.</w:t>
      </w:r>
    </w:p>
    <w:p>
      <w:r>
        <w:t>6). Entsprechend hat sie auch keine solche beantragt. Das Gericht erkennt: 1.</w:t>
      </w:r>
    </w:p>
    <w:p>
      <w:r>
        <w:t>In Gutheissung der Beschwerde wird die Sozialversicherungsanstalt des Kantons Zürich, IV-Stelle, ange wiesen, im Sinne der Erwägungen zu verfahre n und eine einheitliche Zwischenverfügung bezüglich der Anordnung der vorgesehenen Begutachtung zu erlasse n . 2.</w:t>
      </w:r>
    </w:p>
    <w:p>
      <w:r>
        <w:t>Das Verfahren ist kostenlos. 3.</w:t>
      </w:r>
    </w:p>
    <w:p>
      <w:r>
        <w:t>Zustellung gegen Empfangsschein an: - Stadt Zürich Soziale Dienste, unter Beilage je eines Doppels von Urk. 6 und Urk. 7 - Sozialversicherungsanstalt des Kantons Zürich, IV-Stelle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