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IV.2025.00115 vom 30. Juni 2025</w:t>
      </w:r>
    </w:p>
    <w:p>
      <w:r>
        <w:t>ZH Sozialversicherungsgericht, 2025-06-30, DE</w:t>
      </w:r>
    </w:p>
    <w:p>
      <w:r>
        <w:rPr>
          <w:b/>
        </w:rPr>
        <w:t xml:space="preserve">Quelle: </w:t>
      </w:r>
      <w:r>
        <w:t>https://mcp.opencaselaw.ch/entscheid/zh_sozialversicherungsgericht_IV.2025.00115</w:t>
      </w:r>
    </w:p>
    <w:p>
      <w:r>
        <w:t>FR: ZH_SOZIALVERSICHERUNGSGERICHT IV.2025.00115 du 30 juin 2025</w:t>
      </w:r>
    </w:p>
    <w:p>
      <w:r>
        <w:t>IT: ZH_SOZIALVERSICHERUNGSGERICHT IV.2025.00115 del 30 giugno 2025</w:t>
      </w:r>
    </w:p>
    <w:p>
      <w:pPr>
        <w:pStyle w:val="Heading2"/>
      </w:pPr>
      <w:r>
        <w:t>Erwägungen</w:t>
      </w:r>
    </w:p>
    <w:p>
      <w:r>
        <w:rPr>
          <w:b/>
        </w:rPr>
        <w:t>E. 1.1</w:t>
      </w:r>
    </w:p>
    <w:p>
      <w:r>
        <w:t>Gemäss Art. 17 Abs. 1 des Bundesgesetz es über den Allgemeinen Teil des Sozialversicherungsrechts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je mit Hinweisen).</w:t>
      </w:r>
    </w:p>
    <w:p>
      <w:r>
        <w:rPr>
          <w:b/>
        </w:rPr>
        <w:t>E. 1.2</w:t>
      </w:r>
    </w:p>
    <w:p>
      <w:r>
        <w:t>Bei Personen, deren Rente revisionsweise herabgesetzt oder aufgehoben werden soll, sind nach mindestens fünfzehn Jahren Bezugsdauer oder wenn sie das 55. Altersjahr zurückgelegt haben, praxisgemäss in der Regel vorgängig Ein gliederungsmassnahmen durchzuführen, bis sie in der Lage sind, das medizi nisch-theoretisch (wieder) ausgewiesene Leistungspotenzial mittels Eigenan stren gung auszuschöpfen und erwerblich zu verwerten. Ausnahmen von der diesfalls grundsätzlich («vermutungsweise») anzunehmenden Unzumutbarkeit einer Selbstein gliederung liegen namentlich dann vor, wenn die langjährige Absenz vom Arbeitsmarkt auf invaliditätsfremde Gründe zurückzuführen ist (etwa bei einer stets vorhandenen, aber nicht verwerteten Restarbeitsfähigkeit; vgl. BGE 141 V 385 E. 5.3 in fine mit Hinweisen),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 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9C_119/2025 vom 2. Juni 2025 E. 4.2.2 mit Hinweis).</w:t>
      </w:r>
    </w:p>
    <w:p>
      <w:r>
        <w:rPr>
          <w:b/>
        </w:rPr>
        <w:t>E. 1.3</w:t>
      </w:r>
    </w:p>
    <w:p>
      <w:r>
        <w:t>Auf die Ausführungen der Parteien ist – soweit erforderlich – nachfolgend ein zugehen. 2.</w:t>
      </w:r>
    </w:p>
    <w:p>
      <w:r>
        <w:rPr>
          <w:b/>
        </w:rPr>
        <w:t>E. 2</w:t>
      </w:r>
    </w:p>
    <w:p>
      <w:r>
        <w:t>D agegen erhob der Vertreter der Versicherten am 10. Februar 2025 Beschwerde und beantragte, der Beschwerdeführerin sei weiterhin eine ganze R ente auszu richten , eventualiter seien weitere medizinische Abklärungen vorzunehmen; unter entsprechender Kosten- und Entschädigungsfolge. In prozessualer Hinsicht sei der Beschwerde die aufschiebende Wirkung zu erteilen; weiter sei der Beschwerdeführerin die unentgeltliche Rechtspflege zu gewähren und der Unter zeichnete als unentgeltlicher Rechtsbeistand zu bestellen (Urk. 1 S. 2).</w:t>
      </w:r>
    </w:p>
    <w:p>
      <w:r>
        <w:t>Mit Beschwerdeantwort vom 12. Mai 2025 beantragte die IV-Stelle die Abwei sung der Beschwerde (Urk. 13).</w:t>
      </w:r>
    </w:p>
    <w:p>
      <w:r>
        <w:rPr>
          <w:b/>
        </w:rPr>
        <w:t>E. 2.1</w:t>
      </w:r>
    </w:p>
    <w:p>
      <w:r>
        <w:t>Aus den Akten ist ersichtlich, dass d ie Beschwerdeführer in im Zeitpunkt der ange fochtenen Verfügung und der Rentenaufhebung</w:t>
      </w:r>
    </w:p>
    <w:p>
      <w:r>
        <w:t>– wie auch bereits im Zeitpunkt der abschliessenden Begutachtung (vgl. Urk. 14 / 217 ) – etwas mehr als 55 Jahre alt war ( zum für die Ermittlung des Eckwerts des 55.</w:t>
      </w:r>
    </w:p>
    <w:p>
      <w:r>
        <w:t>Altersjahres massgebliche n Zeitpunkt s</w:t>
      </w:r>
    </w:p>
    <w:p>
      <w:r>
        <w:t>vgl. BGE 145 V 209 E. 5.4 mit Hinweisen) und seit rund</w:t>
      </w:r>
    </w:p>
    <w:p>
      <w:r>
        <w:t>20 Jahren eine Rente der Invaliden versicherung bezog.</w:t>
      </w:r>
    </w:p>
    <w:p>
      <w:r>
        <w:t>Entsprechend wies die Beschwerde gegnerin in ihrer Stellungnahme vom 17. April 2024 auch darauf hin, dass vor der Renteneinstellung berufliche Massnahmen anzubieten respektive zu prüfen seien (Urk. 14/244 S. 8). D emnach kann d ie Beschwerdeführer in</w:t>
      </w:r>
    </w:p>
    <w:p>
      <w:r>
        <w:t>nicht ohne weiteres auf den Weg der Selbsteingliederung verwiesen werden und es ist vor einem allfälligen Rentenentzug grundsätzlich eine E ingliederungshilfe zu gewäh ren.</w:t>
      </w:r>
    </w:p>
    <w:p>
      <w:r>
        <w:rPr>
          <w:b/>
        </w:rPr>
        <w:t>E. 2.2</w:t>
      </w:r>
    </w:p>
    <w:p>
      <w:r>
        <w:t>Die angefochtene Verfügung stützt sich in medizinischer Hinsicht im Wesent lichen auf das vorliegende A.___ - Gutachten vom 17. Juli 2023 (Urk. 14/217) . Die dafür verantwortlichen Fachpersonen attestierten der Beschwerdeführerin in einer angepassten Tätigkeit eine 100%ige Arbeitsfähigkeit (Urk. 14/217/44), wobei trotz zweimaliger Nachfrage nicht restlos geklärt werden konnte, ob es sich bei dieser Einschätzung um eine Verbesserung des gesundheitlichen Zustands oder im Wesentlichen um eine andere Beurteilung eines unveränderten medi zinischen Sachverhalts handelt ( vgl. Urk. 14/220, Urk. 14/227 ) . Auch wenn die Prüfung der massgeblichen Verbesserung für die revisionsweise Prüfung des Rentenanspruchs von zentraler Bedeutung ist, kann die abschliessende Klärung dieser Frage vorliegend offen bleiben . So fusst der während der Eingliederung weiterlaufende Rentenanspruch nicht auf einer gesundheitlichen Beeinträchti gung, sondern auf der nicht mehr möglichen Selbsteingliederung einer versi cherten Person.</w:t>
      </w:r>
    </w:p>
    <w:p>
      <w:r>
        <w:t>Unzulässig ist es dabei, die Pflicht zur Eingliederungshilfe unter blossem Hinweis darauf, dass sich die Beschwerdeführerin subjektiv nicht in der Lage fühle an Eingliederungsmassnahmen teilzunehmen (Urk. 14/285 S. 6), zu missachten. Fehlt der Eingliederungswille bzw. die subjektive Eingliederungsfähigkeit, d.h. ist die Eingliederungsbereitschaft aus invaliditätsfremden Gründen nicht gegeben, darf die Rente rechtsprechungsgemäss in der Tat ohne vorgängige Prüfung von Massnahmen der (Wieder-)Eingliederung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 auch diesfalls eines Einglie 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 verfahren und vor dem kantonalen Versicherungsgericht gemachten Ausfüh rungen resp. gestellten Anträge (Urteil des Bundesgerichts 8C_466/2024 vom 1. Mai 2025 E. 5.2).</w:t>
      </w:r>
    </w:p>
    <w:p>
      <w:r>
        <w:t>Die Beschwerdegegnerin verneinte einen Eingliederungswillen der Beschwerde führerin (Urk. 14/285 S. 6 mit Hinweis auf Urk. 14/281) indes, ohne konkret aufzuzeigen, worauf sie diese Einschätzung stützt. Die von ihr angerufene Gesprächsnotiz vom 6. Mai 2024 lässt jedenfalls nicht auf eine fehlende Eingliederungsbereitschaft schliessen und andere konkrete Angaben, welche einen solchen Schluss zuliessen, wurden von der Beschwerdegegnerin nicht benannt.</w:t>
      </w:r>
    </w:p>
    <w:p>
      <w:r>
        <w:t>2.</w:t>
      </w:r>
    </w:p>
    <w:p>
      <w:r>
        <w:rPr>
          <w:b/>
        </w:rPr>
        <w:t>E. 3</w:t>
      </w:r>
    </w:p>
    <w:p>
      <w:r>
        <w:t>Die Beschwerdegegnerin wird verpflichtet, der Beschwerdeführerin eine Parteientschä digung von Fr. 3’000 .-- ( inklusive Barauslagen und Mehrwertsteuer ) zu bezahlen.</w:t>
      </w:r>
    </w:p>
    <w:p>
      <w:r>
        <w:rPr>
          <w:b/>
        </w:rPr>
        <w:t>E. 3.1</w:t>
      </w:r>
    </w:p>
    <w:p>
      <w:r>
        <w:t>Da es im vorliegenden Verfahren um die Bewilligung oder Verweigerung von IV-Leistungen geht, ist das Verfahren kostenpflichtig. Die Gerichtskosten sind nach dem Verfahrensaufwand und unabhängig vom Streitwert festzule gen (Art. 69 Abs. 1 bis des Bundesgesetzes über die Invalidenversicherung; IVG) und auf Fr. 600.-- anzusetzen. Entsprechend dem Ausgang des Verfahrens sind sie der Beschwerdegegnerin aufzuerlegen.</w:t>
      </w:r>
    </w:p>
    <w:p>
      <w:r>
        <w:t>Bei diesem Ausgang des Verfahrens wird das Gesuch betreffend Gewährung der unentgeltlichen Rechtspflege gegenstandslos.</w:t>
      </w:r>
    </w:p>
    <w:p>
      <w:r>
        <w:rPr>
          <w:b/>
        </w:rPr>
        <w:t>E. 3.2</w:t>
      </w:r>
    </w:p>
    <w:p>
      <w:r>
        <w:t>Weiter ist die Beschwerdegegnerin zu verpflichten, de r Beschwerdeführer in eine angemessene Partei entschädigung zu bezahlen, welche in Anwendung von Art. 61 lit . g ATSG, namentlich unter Berücksichtigung der Bedeutung der Streit sache und der Schwierigkeit des Prozesses auf Fr.</w:t>
      </w:r>
    </w:p>
    <w:p>
      <w:r>
        <w:rPr>
          <w:b/>
        </w:rPr>
        <w:t>E. 4</w:t>
      </w:r>
    </w:p>
    <w:p>
      <w:r>
        <w:t>Zustellung gegen Empfangsschein an: - Rechtsanwalt Abdullah Karakök unter Beilage einer Kopie von Urk. 13 -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