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IV.2024.00765 vom 27. Juni 2025</w:t>
      </w:r>
    </w:p>
    <w:p>
      <w:r>
        <w:t>ZH Sozialversicherungsgericht, 2025-06-27, DE</w:t>
      </w:r>
    </w:p>
    <w:p>
      <w:r>
        <w:rPr>
          <w:b/>
        </w:rPr>
        <w:t xml:space="preserve">Quelle: </w:t>
      </w:r>
      <w:r>
        <w:t>https://mcp.opencaselaw.ch/entscheid/zh_sozialversicherungsgericht_IV.2024.00765</w:t>
      </w:r>
    </w:p>
    <w:p>
      <w:r>
        <w:t>FR: ZH_SOZIALVERSICHERUNGSGERICHT IV.2024.00765 du 27 juin 2025</w:t>
      </w:r>
    </w:p>
    <w:p>
      <w:r>
        <w:t>IT: ZH_SOZIALVERSICHERUNGSGERICHT IV.2024.00765 del 27 giugno 2025</w:t>
      </w:r>
    </w:p>
    <w:p>
      <w:pPr>
        <w:pStyle w:val="Heading2"/>
      </w:pPr>
      <w:r>
        <w:t>Erwägungen</w:t>
      </w:r>
    </w:p>
    <w:p>
      <w:r>
        <w:rPr>
          <w:b/>
        </w:rPr>
        <w:t>E. 1</w:t>
      </w:r>
    </w:p>
    <w:p>
      <w:r>
        <w:t>Satz 2 ATSG).</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25 Abs.</w:t>
      </w:r>
    </w:p>
    <w:p>
      <w:r>
        <w:rPr>
          <w:b/>
        </w:rPr>
        <w:t>E. 1.3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anwendung zu gewährleisten, Rechnung getragen (BGE 146 V 224 E. 4.4.2, 141 V 365 E. 2.4 m.w.H .).</w:t>
      </w:r>
    </w:p>
    <w:p>
      <w:r>
        <w:rPr>
          <w:b/>
        </w:rPr>
        <w:t>E. 1.4</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BGE 143 V 105 E. 2.1; Urteil des Bundesgerichts 8C_206/2020 vom 1. Mai 2020 E. 4.1, je m.w.H .).</w:t>
      </w:r>
    </w:p>
    <w:p>
      <w:r>
        <w:rPr>
          <w:b/>
        </w:rPr>
        <w:t>E. 1.5</w:t>
      </w:r>
    </w:p>
    <w:p>
      <w:r>
        <w:t>Eine Rückforderung rechtsbeständig zugesprochener Leistungen unterliegt den üblichen Rückkommensvoraussetzungen der prozessualen Revision ( Art. 53 Abs. 1 ATSG) oder der Wiedererwägung wegen zweifelloser Unrichtigkeit und erheblicher Bedeutung der Berichtigung ( Art. 53 Abs.</w:t>
      </w:r>
    </w:p>
    <w:p>
      <w:r>
        <w:rPr>
          <w:b/>
        </w:rPr>
        <w:t>E. 2</w:t>
      </w:r>
    </w:p>
    <w:p>
      <w:r>
        <w:t>ATSG) unabhängig davon, ob die zur Rückforderung Anlass gebenden Leistungen förmlich oder formlos verfügt worden sind (BGE 142 V 259 E. 3.2, 129 V 110 E. 1.1, je m.w.H .; vgl. Urteil des Bundesgerichts 9C_790/2018 vom 9. April 2019 E. 4.1). 1.</w:t>
      </w:r>
    </w:p>
    <w:p>
      <w:r>
        <w:rPr>
          <w:b/>
        </w:rPr>
        <w:t>E. 2.1</w:t>
      </w:r>
    </w:p>
    <w:p>
      <w:r>
        <w:t>Die Beschwerdegegnerin begründete die angefochtene Verfügung vom 1 8. November 2024 (Urk. 2) damit, dass die Neuberechnung der Rente rück wirkend zu einer tieferen Leistung führe und die zu viel ausbezahlten Renten leistungen zurückgefordert werden müssten. Mit dem Vorbescheid vom 1 6. April 2024 sei die Verjährungsfrist unterbrochen worden und es sei korrekt, dass die Renten ab Mai 2019 korrigiert werden würden. Der Beschwerdeführer werde gestützt auf Art. 25 ATSG verpflichtet, den Betrag von Fr. 139'644.-- zurückzu erstatten (S. 1).</w:t>
      </w:r>
    </w:p>
    <w:p>
      <w:r>
        <w:t>Mit Beschwerdeantwort vom 2 3. Januar 2025 (Urk. 10) ergänzte die Beschwerde gegnerin, aus systemimmanenten Gründen seien die Rückforderungsverfügungen nicht korrekt ausgefertigt worden. Vor dem Hintergrund von Art. 53 Abs 3 ATSG sei am 1</w:t>
      </w:r>
    </w:p>
    <w:p>
      <w:r>
        <w:rPr>
          <w:b/>
        </w:rPr>
        <w:t>E. 6</w:t>
      </w:r>
    </w:p>
    <w:p>
      <w:r>
        <w:t>Der Rückforderungsanspruch erlischt drei Jahre, nachdem die Versicherungs 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Es handelt sich um Verwirkungsfristen (BGE 140 V 521 E. 2.1 mit Hinweisen). 1.</w:t>
      </w:r>
    </w:p>
    <w:p>
      <w:r>
        <w:rPr>
          <w:b/>
        </w:rPr>
        <w:t>E. 7</w:t>
      </w:r>
    </w:p>
    <w:p>
      <w:r>
        <w:t>Eine Rückforderung von unrechtmässig bezogenen Geldleistungen ist in der Sozialver sicherung nur unter den für die Wiedererwägung oder die prozessuale Revision formell rechtskräftiger Verfügungen massgebenden Voraussetzungen zulässig (vgl. BGE 130 V 380 E. 2.3.1 mit Hinweisen). 1.</w:t>
      </w:r>
    </w:p>
    <w:p>
      <w:r>
        <w:rPr>
          <w:b/>
        </w:rPr>
        <w:t>E. 8</w:t>
      </w:r>
    </w:p>
    <w:p>
      <w:r>
        <w:t>Die eine frühere Verfügung berichtigende Wiedererwägung im Sinne von Art. 53 Abs. 2 ATSG zieht grundsätzlich die Pflicht zur Rückerstattung der von der Invaliden versicherung zu Unrecht bezogenen Leistung nach sich (Art. 25 ATSG; BGE 130 V 380 E. 2.3.1, 130 V 318 E. 5.2, 110 V 298 Regeste). Wenn die Ver waltung bei Erlass der ursprünglichen Verfügung einen spezifisch IV-rechtlichen Gesichtspunkt falsch beurteilt hat, kommt eine Rückforderung der unrechtmässig bezogenen Leistungen jedoch nur im Fall einer unrechtmässigen Leistungs erwirkung oder einer Verletzung der Meldepflicht (Art. 77 IVV) in Frage (vgl. Art. 85 Abs. 2 IVV und Art. 88 bis Abs. 2 lit . b IVV). Per 1. Januar 2015 wurde Art. 88 bis Abs. 2 lit . b IVV dahingehend ergänzt, dass bei verletzter Meldepflicht eine rückwirkende Herabsetzung unabhängig davon erfolgt, ob die Verletzung der Meldepflicht ein Grund für die Weiterausrichtung der Leistung war.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