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IV.2024.00717 vom 22. Dezember 2025</w:t>
      </w:r>
    </w:p>
    <w:p>
      <w:r>
        <w:t>ZH Sozialversicherungsgericht, 2025-12-22, DE</w:t>
      </w:r>
    </w:p>
    <w:p>
      <w:r>
        <w:rPr>
          <w:b/>
        </w:rPr>
        <w:t xml:space="preserve">Quelle: </w:t>
      </w:r>
      <w:r>
        <w:t>https://mcp.opencaselaw.ch/entscheid/zh_sozialversicherungsgericht_IV.2024.00717</w:t>
      </w:r>
    </w:p>
    <w:p>
      <w:r>
        <w:t>FR: ZH_SOZIALVERSICHERUNGSGERICHT IV.2024.00717 du 22 décembre 2025</w:t>
      </w:r>
    </w:p>
    <w:p>
      <w:r>
        <w:t>IT: ZH_SOZIALVERSICHERUNGSGERICHT IV.2024.00717 del 22 dicembre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 Verbindung mit Urk. 6/4/4-5 ).</w:t>
      </w:r>
    </w:p>
    <w:p>
      <w:r>
        <w:t>Die Sozialversicherungs anstalt des Kantons Zürich, IV-Stelle , gewährte in der Folge diverse Kosten gutsprachen für (unter anderem) die medizinische Behandlung des Geburts gebrechens Ziff. 404 Anhang GgV sowie für ambulante Ergotherapie ( Urk. 6/9 10 , Urk. 6/18, Urk. 6/24 , Urk. 6/33 ) , letztmals am 2 5. Februar 2022 (medizinische Massnahmen, Urk. 6/58 ) respektive 1 6. Januar 2024 (ambulante Ergotherapie, Urk. 6/102) . Am 1 0. April 2021 wurde der Versicherte von seinen Eltern unter Hinweis auf eine Aufmerksamkeitsdefizit-/Hyperaktivitätsstörung (ADHS) bei der Invaliden versicherung</w:t>
      </w:r>
    </w:p>
    <w:p>
      <w:r>
        <w:t>zwecks Massnahmen für die berufliche Eingliederung angemeldet ( Urk. 6/34) , wo rauf die IV-Stelle</w:t>
      </w:r>
    </w:p>
    <w:p>
      <w:r>
        <w:t>am</w:t>
      </w:r>
    </w:p>
    <w:p>
      <w:r>
        <w:t>4. August 2022 über</w:t>
      </w:r>
    </w:p>
    <w:p>
      <w:r>
        <w:t>die Übernahme der Mehrkosten für die Vorbereitung auf eine Hilfsarbeit oder eine Tätigkeit in einer geschü t z t en Werkstätte auf die Ausbildung PrA Detailhandel vom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