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IV.2024.00673 vom 18. September 2025</w:t>
      </w:r>
    </w:p>
    <w:p>
      <w:r>
        <w:t>ZH Sozialversicherungsgericht, 2025-09-18, DE</w:t>
      </w:r>
    </w:p>
    <w:p>
      <w:r>
        <w:rPr>
          <w:b/>
        </w:rPr>
        <w:t xml:space="preserve">Quelle: </w:t>
      </w:r>
      <w:r>
        <w:t>https://mcp.opencaselaw.ch/entscheid/zh_sozialversicherungsgericht_IV.2024.00673</w:t>
      </w:r>
    </w:p>
    <w:p>
      <w:r>
        <w:t>FR: ZH_SOZIALVERSICHERUNGSGERICHT IV.2024.00673 du 18 septembre 2025</w:t>
      </w:r>
    </w:p>
    <w:p>
      <w:r>
        <w:t>IT: ZH_SOZIALVERSICHERUNGSGERICHT IV.2024.00673 del 18 settembre 2025</w:t>
      </w:r>
    </w:p>
    <w:p>
      <w:pPr>
        <w:pStyle w:val="Heading2"/>
      </w:pPr>
      <w:r>
        <w:t>Erwägungen</w:t>
      </w:r>
    </w:p>
    <w:p>
      <w:r>
        <w:rPr>
          <w:b/>
        </w:rPr>
        <w:t>E. 1.1</w:t>
      </w:r>
    </w:p>
    <w:p>
      <w:r>
        <w:t>Invalide oder von einer Invalidität (Art. 8 des Bundesgesetzes über den Allge meinen Teil des Sozialversicherungsrechts, ATSG) bedrohte Versicherte haben gemäss Art. 8 Abs. 1 des Bundesgesetzes über die Invalidenversicherung ( IVG )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 gliederung ins Erwerbsleben oder in den Aufgabenbereich (Abs. 2). Nach Mass gabe von Artikel 16 Abs. 3 lit . b IVG besteht der Anspruch auf Leistungen unab 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w:t>
      </w:r>
    </w:p>
    <w:p>
      <w:r>
        <w:rPr>
          <w:b/>
        </w:rPr>
        <w:t>E. 1.2</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 igen Beruf gleichgestellt (Abs. 2). Al s Umschu lung gelten gemäss Art. 6 Abs. 1 der Verordnung über die Invalidenversicherung ( IVV ) Ausbildungsmassnahmen, die Versicherte nach Abschluss einer erstmaligen beruflichen Ausbildung oder nach Aufnahme einer Erwerbstätigkeit ohne vor gängige berufliche Ausbildung wegen ihrer Invalidität zur Erhaltung oder Ver besserung der Erwerbsfähigkeit benötigen.</w:t>
      </w:r>
    </w:p>
    <w:p>
      <w:r>
        <w:rPr>
          <w:b/>
        </w:rPr>
        <w:t>E. 1.3</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 möglichkeit zu vermitteln. Dabei bezieht sich der Begriff der «annähernden Gleichwertigkeit» nicht in erster Linie auf das Ausbildungsniveau als solches, sondern auf die nach erfolgter Eingliederung zu erwartende Verdienst möglichkeit. In der Regel besteht nur ein Anspruch auf die dem jeweiligen Ein gliederungszweck angemessenen, notwendigen Massnahmen, nicht aber auf die nach den gegebenen Umständen bestmöglichen Vorkehren. Denn das Gesetz will die Eingliederung lediglich so weit sicherstellen, als diese im Einzelfall notwen dig, aber auch genügend ist (BGE 130 V 488 E. 4.2 mit Hinweisen; Urteil des Bundesgerichts 9C_623/2020 vom 8. März 2021 E. 2 mit Hinweisen).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w:t>
      </w:r>
    </w:p>
    <w:p>
      <w:r>
        <w:t>Für die Beurteilung der Gleichwertigkeit im Sinne der erwähnten Rechtsprechung ist in erster Linie auf die miteinander zu vergleichenden Erwerbsmöglichkeiten im ursprünglichen und im neuen Beruf oder in einer der versicherten Person zumutbaren Tätigkeit abzustellen. Zwar geht es nicht an, den Anspruch auf Umschulungsmassnahmen – gleichsam im Sinne einer Momentaufnahme – aus schliesslich vom Ergebnis eines auf den aktuellen Zeitpunkt begrenzten Ein kommensvergleichs, ohne Rücksicht auf den qualitativen Ausbildungsstand einerseits und die damit zusammenhängende künftige Entwicklung der erwerbli chen Möglichkeiten anderseits, abhängen zu lassen. Vielmehr ist im Rahmen der vorzunehmenden Prognose (BGE 110 V 99 E. 2) unter Berücksichtigung der gesamten Umstände nicht nur der Gesichtspunkt der Verdienstmöglichkeit, sondern der für die künftige Einkommensentwicklung ebenfalls bedeutsame qualitative Stellenwert der beiden zu vergleichenden Berufe mit zu berücksichti gen. Die annähernde Gleichwertigkeit der Erwerbsmöglichkeit in der alten und neuen Tätigkeit dürfte auf weite Sicht nur dann zu verwirklichen sein, wenn auch die beiden Ausbildungen einen einigermassen vergleichbaren Wert aufweisen (BGE 124 V 108 E. 3b; AHI 1997 S. 86 E. 2b; Urteil des Bundesgerichts 9C_994/2009 vom 22. März 2010 E. 4 mit Hinweisen).</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w:t>
      </w:r>
    </w:p>
    <w:p>
      <w:r>
        <w:t>GSVGer ). 2.</w:t>
      </w:r>
    </w:p>
    <w:p>
      <w:r>
        <w:rPr>
          <w:b/>
        </w:rPr>
        <w:t>E. 2</w:t>
      </w:r>
    </w:p>
    <w:p>
      <w:r>
        <w:t>Gegen diese Verfügung erhob X.___ durch die P ro I nfirmis am 18. November 2024 Beschwerde mit folgenden Anträgen ( Urk. 1 S. 1): « 1. Die Verfügung vom 31.10.20</w:t>
      </w:r>
    </w:p>
    <w:p>
      <w:r>
        <w:rPr>
          <w:b/>
        </w:rPr>
        <w:t>E. 2.1</w:t>
      </w:r>
    </w:p>
    <w:p>
      <w:r>
        <w:t>Die Beschwerdegegnerin begründete die angefochtene Verfügung vom 31. Oktober 2024 ( Urk. 2) damit, dass seit de r Verfügung ( vom 2 1. Mai 2024 ) kein veränderter Sachverhalt erkennbar sei. Es seien bereits Eingliederungs mass nahmen durchgeführt worden. Der Beschwerdeführer habe den Arbeits versuch aufgrund einer subjektiven Belastungsobergrenze von 60 % und mit dem Wunsch auf Ausrichtung einer Teilrente vorzeitig beendet. Bei den weiteren Abklärungen in Koordination mit der Suva habe sich jedoch gezeigt, dass dem Beschwerde führer die Ausübung einer angepassten Tätigkeit medizinisch-theoretisch zu 100 % zumutbar sei. Der Einwand, dass das Valideneinkommen zu tief berechnet worden sei, sei berechtigt. Der Invaliditätsgrad belaufe sich aber auch nach dieser Berechnung auf einen rentenausschliessenden Invaliditätsgrad von 26 % . Der Beschwerdeführer sei in einer angepassten Tätigkeit zu 100 % arbeitsfähig und könne bei der Stellensuche die Unterstützung des Regionalen Arbeitsver mittlungszentrums ( RAV ) in Anspruch nehmen.</w:t>
      </w:r>
    </w:p>
    <w:p>
      <w:r>
        <w:rPr>
          <w:b/>
        </w:rPr>
        <w:t>E. 2.2</w:t>
      </w:r>
    </w:p>
    <w:p>
      <w:r>
        <w:t>Demgegenüber machte der Beschwerdeführer in der Beschwerde vom 18. November 2024 ( Urk. 1) geltend, er verfüge über eine in der Schweiz aner kannte Ausbildung als Zimmermann und sei bis zu seinem Unfall am 7. Dezember 2022 in einem Vollzeitpensum als Polier tätig gewesen. Aufgrund der aus dem Unfall resultierenden bleibenden Einschränkungen habe sich der Beschwerde führer bei der Invalidenversicherung angemeldet. Der Arbeitsversuch in der Betonfertigung habe abgebrochen werden müssen, da der Beschwerde führer das Pensum gesundheitsbedingt nicht über 60 % habe steigern können. De n Renten anspruch habe die Beschwerdegegnerin mit rechtskräftiger Verfügung vom 2 1. Mai 2024 verneint. Der Beschwerdeführer habe trotz Unterstützung des RAV keine angepasste Stelle gefunden, weshalb er ein Zusatzgesuch für berufliche Massnahmen bei der Beschwerdegegnerin gestellt habe. Bei einem Invaliditäts grad ab 20 % bestehe grundsätzlich ein Umschulungsanspruch. Der Beschwerde führer sei hochmotiviert und habe bereits mitgeteilt, dass er eine Umschulung zum Geomatiker machen möchte. Er sei mit seinen Vorkenntnissen für diese Umschulung qualifiziert und es bestünden somit hohe Eingliederungschancen. Der Wunsch des Beschwerdeführers nach Rentenprüfung zur Zeit des Abbruchs des Arbeitsversuchs könne ihm nicht negativ ausgelegt werden. Er sei sowohl subjektiv wie objektiv in der Lage, die Umschulung erfolgreich zu absolvieren. 3.</w:t>
      </w:r>
    </w:p>
    <w:p>
      <w:r>
        <w:t>Gemäss dem Arztbericht des Spitals C.___ vom 2 2. November 202</w:t>
      </w:r>
    </w:p>
    <w:p>
      <w:r>
        <w:rPr>
          <w:b/>
        </w:rPr>
        <w:t>E. 4</w:t>
      </w:r>
    </w:p>
    <w:p>
      <w:r>
        <w:t>.</w:t>
      </w:r>
    </w:p>
    <w:p>
      <w:r>
        <w:rPr>
          <w:b/>
        </w:rPr>
        <w:t>E. 4.1</w:t>
      </w:r>
    </w:p>
    <w:p>
      <w:r>
        <w:t>Es ist zwischen den Parteien unstrittig und durch die Akten ausgewiesen, dass der Beschwerdeführer seit dem Unfall vom 7. Dezember 2022 seiner ange stammten Tätigkeit als Zimmermann bzw. Bauarbeiter nicht mehr nachgehen kann. Es steht auch fest, dass der Beschwerdeführer eine behinderungsangepasste Tätigkeit zu 100 %</w:t>
      </w:r>
    </w:p>
    <w:p>
      <w:r>
        <w:t>ausüben und damit ein rentenausschliessendes Einkommen erzielen kann. Der Rentenanspruch ist von der Beschwerdegegnerin mit rechts kräftiger Verfügung vom 2 1. Mai 2024 verneint worden ( Urk. 12/67) . Strittig und zu prüfen ist dagegen die Frage, ob der Beschwerdeführer Anspruch auf berufli che Massnahmen der Invaliden versicherung , insbesondere eine Umschulung, hat.</w:t>
      </w:r>
    </w:p>
    <w:p>
      <w:r>
        <w:rPr>
          <w:b/>
        </w:rPr>
        <w:t>E. 4.2</w:t>
      </w:r>
    </w:p>
    <w:p>
      <w:r>
        <w:t>Soweit die Beschwerdegegnerin die angefochtene Verfügung vom 3 1. Oktober 2024 ( Urk. 2) damit begründet, dass kein veränderter Sachverhalt gegenüber der Verfügung vom 2 1. Mai 2024 ( Urk. 12/67) erkennbar sei , und damit geltend machen will, es sei mit der Verfügung vom 21. Mai 2024 bereits über den Anspruch des Beschwerdeführers auf berufliche Massnahmen entschieden worden, ist festzuhalten, dass mit der Verfügung vom 2 1. Mai 2024 der Renten anspruch des Beschwerdeführers abgewiesen worden ist. Hingegen hat die Beschwerdegegnerin über den Anspruch auf berufliche Massnahmen in der Ver fügung vom 2 1. Mai 2024 nicht entschieden. Am 2 5. Juli 2024 hat der Beschwerdeführer zudem erstmals explizit um eine Unterstützung in der Form einer Umschulung ersucht. Die angefochtene Verfügung ist somit nicht im Rahmen einer Neuanmeldung ergangen, weshalb ihre Rechtmässigkeit auch nicht (analog) unter revisionsrechtlichen Aspekten zu beurteilen ist; insbesondere ist es irrelevant, ob sich die Verhältnisse seit dem 2 1. Mai 2024 verschlechtert haben oder nicht.</w:t>
      </w:r>
    </w:p>
    <w:p>
      <w:r>
        <w:rPr>
          <w:b/>
        </w:rPr>
        <w:t>E. 4.3</w:t>
      </w:r>
    </w:p>
    <w:p>
      <w:r>
        <w:t>Der mit Unterstützung der Beschwerdegegnerin durchgeführte Arbeitsversuch wurde abgebrochen, weil der Beschwerdeführer sich nicht in der Lage sah, die Tätigkeit als Vorarbeiter Produktion bei der B.___ AG zu mehr als 60 % auszuüben. Der Beschwerdeführer hat zwar die Rentenprüfung beantragt, er hat sich aber soweit ersichtlich nicht dahin gehend geäussert, dass er nicht bereit</w:t>
      </w:r>
    </w:p>
    <w:p>
      <w:r>
        <w:t>wäre, eine körperlich weniger anstrengende, seiner Gesundheits beeinträchtigung besser angepasste Erwerbstätigkeit zu 100 % auszuüben. Mit der Frage, ob dem Beschwerdeführer die Ausübung der Tätigkeit bei der B.___ AG zu 100 % zumutbar wäre oder verneinendenfalls , welche andere Tätigkeit dem Beschwerdeführer mit oder ohne zusätzliche Ausbildung zumutbar wäre, hat sich die Beschwerdegegnerin nicht auseinandergesetzt. Dass ein (weiterer) Anspruch auf berufliche Massnahmen, insbesondere auf eine Umschulung, ausser Betracht fällt, ergibt sich unter Berücksichtigung des Ver laufs der bisherigen Eingliederungsberatung jedenfalls nicht.</w:t>
      </w:r>
    </w:p>
    <w:p>
      <w:r>
        <w:rPr>
          <w:b/>
        </w:rPr>
        <w:t>E. 4.4</w:t>
      </w:r>
    </w:p>
    <w:p>
      <w:r>
        <w:t>Insbesondere darf e in Umschulungsanspruch nicht einzig mit dem Hinweis auf die volle Arbeitsfähigkeit in einer leidensangepassten Tätigkeit verneint werden (Urteil des Bundesgerichts 8C_792/2019 vom 2 8. Februar 2020 E. 4.3). Die Beschwerdegegnerin hat in der angefochtenen Verfügung anerkannt, dass der Einkommensvergleich einen Invaliditätsgrad von 26 % ergibt. Der Richtwert einer Erwerbseinbusse von etwa 20 % (vgl. E. 1.3) für den Anspruch auf eine Umschu lung wird damit vom Beschwerdeführer erreicht. Der Beschwerdeführer verfügt über eine abgeschlossene berufliche Ausbildung als Zimmermann und über jahrelange Erfahrung mit Arbeiten im Bau gewerbe , er wurde auch als Vorarbeiter eingesetzt . Auch unter diesem Aspekt sind die Voraussetzungen auf eine Umschulung erfüllt. Weitere Abklärungen hat die Beschwerdegegnerin nicht vor genommen. Sie hat nicht geprüft, ob es sich bei der vom Beschwerdeführer angestrebten Umschulung zum Geomatiker um eine seiner Behinderung ange passte Tätigkeit handelt und inwiefer n diese Ausbildung eingliederungs wirksam und zur bis vor Eintritt des Gesundheitsschadens ausgeübten Tätigkeit gleich wertig ist. Ebenso wenig hat sie geprüft, ob eine Umschulung in eine andere Tätigkeit eingliederungswirksam durchgeführt werden könnte .</w:t>
      </w:r>
    </w:p>
    <w:p>
      <w:r>
        <w:rPr>
          <w:b/>
        </w:rPr>
        <w:t>E. 4.5</w:t>
      </w:r>
    </w:p>
    <w:p>
      <w:r>
        <w:t>D ie Sache ist deshalb zur Abklärung d es Anspruchs des Beschwerdeführers auf berufliche Massnahmen, insbesondere eine Umschulung, an die Beschwerde gegnerin zurückzuweisen.</w:t>
      </w:r>
    </w:p>
    <w:p>
      <w:r>
        <w:rPr>
          <w:b/>
        </w:rPr>
        <w:t>E. 5</w:t>
      </w:r>
    </w:p>
    <w:p>
      <w:r>
        <w:t>.1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w:t>
      </w:r>
    </w:p>
    <w:p>
      <w:r>
        <w:rPr>
          <w:b/>
        </w:rPr>
        <w:t>E. 5.2</w:t>
      </w:r>
    </w:p>
    <w:p>
      <w:r>
        <w:t>Ebenso folgt daraus, dass der vertretene Beschwerdeführer Anspruch auf eine Parteientschädigung hat , denn n ach Art. 61 lit . g ATSG hat die obsiegende Beschwerde führende Person Anspruch auf Ersatz der Parteikosten. Diese werden vom Gericht festgesetzt und ohne Rücksicht auf den Streitwert nach der Bedeu 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 sicherungsgericht [ GebV</w:t>
      </w:r>
    </w:p>
    <w:p>
      <w:r>
        <w:t>SVGer ]). Unter Berücksichtigung dieser Grundsätze ist die dem Beschwerdeführer zustehende P artei entschädigung ermessensweise auf Fr. 800 . -- (inklusive Barauslagen und Mehrwertsteuer) festzusetzen. Das Gericht erkennt: 1.</w:t>
      </w:r>
    </w:p>
    <w:p>
      <w:r>
        <w:t>Die Beschwerde wird in dem Sinne gutgeheissen, dass die angefochtene Verfügung vom 3 1. Oktober 2024 aufgehoben und die Sache an die Sozialversicherungsanstalt des Kantons Zürich, IV-Stelle, zurückgewiesen wird, damit diese, nach erfolgten Abklärungen im Sinne der Erwägungen, neu verfüge .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 schädigung von Fr. 800 .-- (inkl. Barauslagen und MWST) zu bezahlen. 4.</w:t>
      </w:r>
    </w:p>
    <w:p>
      <w:r>
        <w:t>Zustellung gegen Empfangsschein an: - Pro Infirmis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GräubBrügger</w:t>
      </w:r>
    </w:p>
    <w:p>
      <w:r>
        <w:rPr>
          <w:b/>
        </w:rPr>
        <w:t>E. 6</w:t>
      </w:r>
    </w:p>
    <w:p>
      <w:r>
        <w:t>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