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IV.2024.00603 vom 5. September 2025</w:t>
      </w:r>
    </w:p>
    <w:p>
      <w:r>
        <w:t>ZH Sozialversicherungsgericht, 2025-09-05, DE</w:t>
      </w:r>
    </w:p>
    <w:p>
      <w:r>
        <w:rPr>
          <w:b/>
        </w:rPr>
        <w:t xml:space="preserve">Quelle: </w:t>
      </w:r>
      <w:r>
        <w:t>https://mcp.opencaselaw.ch/entscheid/zh_sozialversicherungsgericht_IV.2024.00603</w:t>
      </w:r>
    </w:p>
    <w:p>
      <w:r>
        <w:t>FR: ZH_SOZIALVERSICHERUNGSGERICHT IV.2024.00603 du 5 septembre 2025</w:t>
      </w:r>
    </w:p>
    <w:p>
      <w:r>
        <w:t>IT: ZH_SOZIALVERSICHERUNGSGERICHT IV.2024.00603 del 5 settembre 2025</w:t>
      </w:r>
    </w:p>
    <w:p>
      <w:pPr>
        <w:pStyle w:val="Heading2"/>
      </w:pPr>
      <w:r>
        <w:t>Erwägungen</w:t>
      </w:r>
    </w:p>
    <w:p>
      <w:r>
        <w:rPr>
          <w:b/>
        </w:rPr>
        <w:t>E. 1.1</w:t>
      </w:r>
    </w:p>
    <w:p>
      <w:r>
        <w:t>Die Beschwerdegegnerin hielt in der angefochtenen Verfügung dafür, dass gestützt auf die neuen Berichte des somatischen Behandlers keine Hinweise auf eine wesentliche Verschlechterung oder neue Befunde ausgewiesen seien. F ür eine optimal angepasste Tätigkeit bestehe aus Sicht der Invalidenversicherung unverändert eine Arbeitsfähigkeit von 70 %. Die kaufmännische Tätigkeit entspreche einer angepassten Tätigkeit. Die berufliche Situation habe sich aber mit Abschluss des Handelsdiploms im Frühjahr 2022 geändert. Somit liege ein Revisionsgrund vor. Der Sachverhalt werde entsprechend neu geprüft und de r Invaliditätsgrad neu berechnet. Sofern Versicherte vor Eintritt der Invalidität eine Ausbildung hätten beginnen können, sei laut den gesetzlichen Bestimmungen das branchenübliche Einkommen heranzuziehen, welches die versicherte Person nach Abschluss der Ausbildung hätte erzielen können. Gestützt auf die vorliegenden Unterlagen habe die Beschwerdeführerin die Ausbildung zur Detailhandelsfach angestellten während eines Jahres absolviert und hätte als fertig A usgebildete in einem Pensum von 100 % im 2024</w:t>
      </w:r>
    </w:p>
    <w:p>
      <w:r>
        <w:t>ein Einkommen von Fr. 56'225.00 erzielen können. Für das Invalideneinkommen sei der Tabellenlohn als kaufmännische Angestellt e in einem 70 % Pensum heranzuziehen und ein Pauschalabzug von 10</w:t>
      </w:r>
    </w:p>
    <w:p>
      <w:r>
        <w:t>% vorzunehmen, woraus ein anrechenbares Inv alideneinkommen in Höhe von Fr. 39'862.-- resultiere, was einer Einkommenseinbusse bzw. einem Invalidi tätsgrad von 29 % entspreche. Die Rente sei entsprechend aufzuheben (Urk. 2).</w:t>
      </w:r>
    </w:p>
    <w:p>
      <w:r>
        <w:rPr>
          <w:b/>
        </w:rPr>
        <w:t>E. 1.2</w:t>
      </w:r>
    </w:p>
    <w:p>
      <w:r>
        <w:t>Die Beschwerdeführerin brachte demgegenüber vor, dass nicht nachvollziehbar sei, dass sie zu 70 % arbeitsfähig sein solle. Die behandelnden Ärzte gingen von einer Arbeitsfähigkeit von maximal 30-40 % aus . Nebst den Folgen der chronischen Morbus</w:t>
      </w:r>
    </w:p>
    <w:p>
      <w:r>
        <w:t>Crohn-Erkrankung bestünden seit rund 2 Jahren Fatigue-Symptome, welche allerdings aufgrund der Überlastung der entsprechenden Stelle im Universitätsspital B.___ bis heute nicht h ätten abgeklärt werden können. Es sei zusammenfassend von der ärztlich attestierten Arbeitsfähigkeit von 30-40 % auszugehen, allenfalls sei nach Vorliegen der Fatigue-Abklärung die Arbeits fähigkeit neu zu beurteilen (Urk. 1). 2.</w:t>
      </w:r>
    </w:p>
    <w:p>
      <w:r>
        <w:rPr>
          <w:b/>
        </w:rPr>
        <w:t>E. 2</w:t>
      </w:r>
    </w:p>
    <w:p>
      <w:r>
        <w:t>Hiergegen erhob die Versicherte am 23. Oktober 2024 Beschwerde und beantragte sinngemäss, dass die Verfügung aufzuheben und ihr eine Rente gestützt auf die Einschätzung der behandelnden Ärzte zuzusprechen sei. Eventualiter sei die angefochtene Verfügung aufzuheben und die Sache an die Beschwerdegegnerin zurückzuweisen, damit diese nach weiteren Abklärungen neu über den Leis tungsanspruch entscheide (Urk. 1). Mit Beschwerdeantwort vom 4. Dezember 2024 schloss die Beschwerdegegnerin auf Abweisung der Beschwerde (Urk. 5 unter Beilage ihrer Akten, Urk. 6/1-207), worüber die Beschwerdeführerin am 11.</w:t>
      </w:r>
    </w:p>
    <w:p>
      <w:r>
        <w:t>Dezember 2024 in Kenntnis gesetzt wurde (Urk. 7).</w:t>
      </w:r>
    </w:p>
    <w:p>
      <w:r>
        <w:rPr>
          <w:b/>
        </w:rPr>
        <w:t>E. 2.1</w:t>
      </w:r>
    </w:p>
    <w:p>
      <w:r>
        <w:t>Gemäss Art. 17 Abs. 1 des Bundesgesetzes über den Allgemeinen Teil des Sozial versicherungsrechts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je mit Hinweisen). Weder eine im Vergleich zu früheren ärztlichen Ein 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w:t>
      </w:r>
    </w:p>
    <w:p>
      <w:r>
        <w:rPr>
          <w:b/>
        </w:rPr>
        <w:t>E. 2.3</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3</w:t>
      </w:r>
    </w:p>
    <w:p>
      <w:r>
        <w:t>eine Korrektur des Arztberichtes ein , in</w:t>
      </w:r>
    </w:p>
    <w:p>
      <w:r>
        <w:t>dem er vermerkte, dass die Beschwerdeführerin seit Februar 2021 nicht 25 % , sondern ca. 40-60 % arbeitsunfähig sei (Urk. 6/182).</w:t>
      </w:r>
    </w:p>
    <w:p>
      <w:r>
        <w:rPr>
          <w:b/>
        </w:rPr>
        <w:t>E. 3.1</w:t>
      </w:r>
    </w:p>
    <w:p>
      <w:r>
        <w:t>In medizinischer Hinsicht stützte sich die rentenzusprechende Verfügung vom 25.</w:t>
      </w:r>
    </w:p>
    <w:p>
      <w:r>
        <w:t>Mai 2022 (Urk. 6/151 und Urk. 6/148) auf das A .___ -Gutachten vom 26.</w:t>
      </w:r>
    </w:p>
    <w:p>
      <w:r>
        <w:t>Oktober 2021 (Urk. 6/132; vgl. auch Feststellungsblatt vom 3. Februar 2022, Urk. 6/137).</w:t>
      </w:r>
    </w:p>
    <w:p>
      <w:r>
        <w:t>Die Gutachter notierten folgende Diagnosen mit Auswirkungen auf die Arbeits fähigkeit (Urk. 6/132/8): - Morbus Crohn (ICD-10 K50.1) - therapierefraktärer Verlauf bis Januar 2020 über 10 Jahre - Erstdiagnose als Pancolitis Crohn ohne terminale Ileitis - aktuell remittiert - Crohn Activity Index CDAI &lt; 50 - Rezidivierende depressive Störung, gegenwärtig leichte Episode (ICD-10 F33.0)</w:t>
      </w:r>
    </w:p>
    <w:p>
      <w:r>
        <w:t>Diagnosen ohne Auswirkungen auf die Arbeitsfähigkeit lägen keine vor.</w:t>
      </w:r>
    </w:p>
    <w:p>
      <w:r>
        <w:t>Aus gastroenterologischer Sicht schränke der Morbus Crohn die Arbeitsfähigkeit der Beschwerdeführerin relevant ein. Erreichbar sei eine Ressourcenlage von 70</w:t>
      </w:r>
    </w:p>
    <w:p>
      <w:r>
        <w:t>%. Geeignet seien leichte bis gelegentlich mittelschwere Tätigkeiten. Aus psy - chiatrischer Sicht bestehe eine um 20 % verminderte Leistungsfähigkeit aufgrund der rezidivierenden depressiven Störung, gegenwärtig leichte Episode. Eine höhergradige Arbeitsunfähigkeit könne aus psychiatrischer Sicht nicht nachvoll zogen werden. Aus rein allgemeininternistischer Sicht könne keine weitere Diagnose mit Einfluss auf die Arbeitsfähigkeit gestellt w e rden (Urk. 6/132/8 , Urk.</w:t>
      </w:r>
    </w:p>
    <w:p>
      <w:r>
        <w:t>6/132/38 ).</w:t>
      </w:r>
    </w:p>
    <w:p>
      <w:r>
        <w:t>Eine körperlich regelmässig mittelschwer oder schwer belastende Tätigkeit sei nicht geeignet. Die Beschwerdeführerin sei in leichten und kurzzeitig mittel schweren Arbeitsprofilen einsetzbar. Die Tätigkeit sollte keine hohen Belastungs spitzen aufweisen und sich eher in ruhiger Umgebung abspielen.</w:t>
      </w:r>
    </w:p>
    <w:p>
      <w:r>
        <w:t>Es sei eine maximale Präsenz von 6-8 Stunden täglich möglich. Es bestehe ein erhöhter Pausenbedarf und ein etwas reduziertes Rendement, welche eine Leis tungseinbusse nach sich zögen. Es bestehe entsprechend insgesamt eine Arbeits- und Leistungsfähigkeit von 70 %.</w:t>
      </w:r>
    </w:p>
    <w:p>
      <w:r>
        <w:t>Dies könne seit Juni 2021 angenommen w e rden. Zuvor habe wahrscheinlich seit der Anmeldung im Mai 2016 eine höhergradige Arbeitsunfähigkeit von 70 % und seit Januar 2020 von 50 % bestanden.</w:t>
      </w:r>
    </w:p>
    <w:p>
      <w:r>
        <w:rPr>
          <w:b/>
        </w:rPr>
        <w:t>E. 3.2</w:t>
      </w:r>
    </w:p>
    <w:p>
      <w:r>
        <w:t>2</w:t>
      </w:r>
    </w:p>
    <w:p>
      <w:r>
        <w:t>Dr. med. D.___ , Facharzt für Psychiatrie und Psychotherapie, des regionalen ärztlichen Dienstes (RAD), gab anlässlich der internen Fallbe sprechung vom 31. Januar 2023 zu Protokoll, dass aktuell keine Hinweise für wesentliche psychische Einschränkungen vorlägen. Mit überwiegender Wahr scheinlichkeit liege gegenüber dem A .___ -Gutachten ein unveränderter Gesund heitszustand vor ,</w:t>
      </w:r>
    </w:p>
    <w:p>
      <w:r>
        <w:t>mithin eine Einschränkung aus psychiatrischer Sicht von maximal 20 %.</w:t>
      </w:r>
    </w:p>
    <w:p>
      <w:r>
        <w:t>RAD-Ärztin med. pract . E.___ , Fachärztin für o rthopädische Chirurgie und Traumatologie des Bewegungsapparates , gab gleichentags während der Besprechung an, dass der Morbus Crohn unter medikamentöser Therapie in Remission sei. Der Morbus Crohn zi ehe eine Einschränkung der Arbeitsfähigkeit von 40 % nach sich in einer leichten Tätigkeit mit regelmässigen, leicht flexiblen Arbeits- und Pausenzeiten ohne Schichtdienst. Perspektivisch sei eine Steigerung der Arbeitsfähigkeit bis 80 % möglich (Urk. 6/180 , vgl. auch Urk. 6/186/3-4 ).</w:t>
      </w:r>
    </w:p>
    <w:p>
      <w:r>
        <w:rPr>
          <w:b/>
        </w:rPr>
        <w:t>E. 3.2.1</w:t>
      </w:r>
    </w:p>
    <w:p>
      <w:r>
        <w:t>Dr. med. C.___ , Facharzt für Gastroenterologie und Allgemeine Innere Medizin, notierte in seinem Bericht vom 24. Januar 2023 , dass er eine ca. 25%ige Arbeitsunfähigkeit seit Februar 2021 bis heute attestiert habe. Bezüglich der Diagnosen sei auf seine Vorberichte zu verweisen. Der allgemeine Gesundheits zustand habe sich nun stabilisiert.</w:t>
      </w:r>
    </w:p>
    <w:p>
      <w:r>
        <w:t>Die Beschwerdeführerin leide unter abdominellen Beschwerden im Rahmen der Grunderkrankung . S chwere körperliche Arbeit sei nicht möglich. E ine körperlich wenig anstrengende Tätigkeit ohne Schichtarbeit mit geregelten und flexiblen Arbeitszeiten sei während ca. 4 Stunden täglich möglich. Die Prognose zur Eingliederung sei insgesamt gut. Sie sei abhängig vom Krankheitsverlauf (Urk.</w:t>
      </w:r>
    </w:p>
    <w:p>
      <w:r>
        <w:t>6/177).</w:t>
      </w:r>
    </w:p>
    <w:p>
      <w:r>
        <w:rPr>
          <w:b/>
        </w:rPr>
        <w:t>E. 3.2.4</w:t>
      </w:r>
    </w:p>
    <w:p>
      <w:r>
        <w:t>Die Beschwerdeführerin reichte im Rahmen des Beschwerdeverfahrens den Bericht von Dr. C.___ vom 9. Oktober 2024 ein. Dabei hielt er folgende, gekürzt wiedergegebenen Hauptdiagnosen fest (Urk. 3/1): - M. Crohn, Erstdiagnose 2010 - ausgeprägte Müdigkeit, vor allem seit Januar 2024, differentialdiag nos tisch Chronic Fatigue Syndrom</w:t>
      </w:r>
    </w:p>
    <w:p>
      <w:r>
        <w:t>Die Abklärung des Chronic</w:t>
      </w:r>
    </w:p>
    <w:p>
      <w:r>
        <w:t>Fatige Syndroms sei im Universitätsspital B.___ bereits avisiert. Er schätze die Arbeitsfähigkeit aktuell auf ca. 30 % ein.</w:t>
      </w:r>
    </w:p>
    <w:p>
      <w:r>
        <w:rPr>
          <w:b/>
        </w:rPr>
        <w:t>E. 3.2.5</w:t>
      </w:r>
    </w:p>
    <w:p>
      <w:r>
        <w:t>Im Rahmen des Beschwerdeverfahrens reichte die Beschwerdeführerin den Bericht von dipl. Ärztin F.___ , Fachärztin für Allgemeine Innere Medizin, vom 23.</w:t>
      </w:r>
    </w:p>
    <w:p>
      <w:r>
        <w:t>Oktober 2024 ein (Urk. 3/2). Die Beschwerdeführerin werde von ihr seit Feb ruar 2024 hausärztlich betreut. Folgende Diagnosen lägen vor: - M. Crohn, Erstdiagnose 2010 - Entivio Infusionen alle sechs Wochen - Chronic Fatigue - Knieschmerzen rechts, Erstmanifestation ca. 2020 - am ehesten bei Reizung der Patellarsehne - verminderte Beinachsenstabilität - Schmerzen laterale Hüfte rechts, Erstmanifestation ca. 2020 - am ehesten Tractus iliotibialis Syndrom - verminderte Becken-/Beinachsenstabilität - Lumbovertebrales Schmerzsyndrom seit Jahren - Chronische depressive Entwicklung - Status nach Hospitalisation Littenheit 2015/2017</w:t>
      </w:r>
    </w:p>
    <w:p>
      <w:r>
        <w:t>Sie habe die Beschwerdeführerin erst wenige Male gesehen. Die Beschwerde füh rerin berichte, dass sie seit anfangs 2024 ausserordentlich erschöpft sei. Wegen einer Morbus Crohn- Erkrankung habe sie wiederholt und lange orale Kortison-Präparate einnehmen müssen. Anfangs 2024 sei das Kortison ausge schlichen worden, mit dem Resultat einer insuffizienten Nebenniere. Das gemessene kör pereigene Cortisol sei de u tlich unter dem Normwert, worauf sie wieder Prednison 5 mg verordnet bekommen habe. Dennoch sei eine ausgeprägte Müdigkeit und schnelle Erschöpfbarkeit geblieben. Zur Abklärung sei eine Anmeldung im Universitätsspital B.___ in der Spezialsprechstunde gemacht worden.</w:t>
      </w:r>
    </w:p>
    <w:p>
      <w:r>
        <w:t>Aufgrund des Allgemeinzustandes sei eine verminderte Arbeitsfähigkeit gegeben, welche gemäss ihrer Einschätzung zwei Arbeitstage pro Woche sein dürfte (maximal 40 %). Eine genauere Beurteilung entziehe sich jedoch ihrer aktuellen Kompetenz.</w:t>
      </w:r>
    </w:p>
    <w:p>
      <w:r>
        <w:rPr>
          <w:b/>
        </w:rPr>
        <w:t>E. 4</w:t>
      </w:r>
    </w:p>
    <w:p>
      <w:r>
        <w:t>Dr. C.___ und dipl. Ärztin F.___ halten in ihren im Rahmen des Beschwer de verfahrens eingereichten Berichte eine ausgeprägte Müdigkeit bzw. eine Chronic Fatigue fest, welc he vor allem seit Januar 2024 bestehe - weitere objektive Angaben, Befunde oder Erläuterungen hierzu fehlen (Urk. 3/1 und Urk. 3/2). Damit ist davon auszugehen, dass diese Diagnose rein auf den Angaben der Beschwerdeführerin basierte, welche allerdings bereits früher über Fatigue klagte:</w:t>
      </w:r>
    </w:p>
    <w:p>
      <w:r>
        <w:t>Sie gab bei der A .___ -Begutachtung an, unter ausgeprägter allgemeiner Erschöp fung zu leiden (Urk. 6/132/18), bereits nach einem Tag Schule erschöpft zu sein (Urk. 6/132/25) und ein enormes Bedürfnis nach Regeneration nach geringen Anstrengungen zu haben (Urk. 6/132/33). Anlässlich des Erstgespräches in der Eingliederungsberatung am 17. März 2023 führ t e sie ebenfalls aus, dass es im Februar 2023 einen Fatigue Schub gegeben habe. Sie habe sich zweimal gegen Corona impfen lassen, habe sich aber dennoch angesteckt. Die Fatigue habe sie seit der Erkrankung (Urk. 6/185/6).</w:t>
      </w:r>
    </w:p>
    <w:p>
      <w:r>
        <w:t>Von eine r wesentliche n Veränderung des Gesundheitszustandes aufgrund der attestierten Chronic Fatigue ist damit nicht</w:t>
      </w:r>
    </w:p>
    <w:p>
      <w:r>
        <w:t>auszugehen.</w:t>
      </w:r>
    </w:p>
    <w:p>
      <w:r>
        <w:t>B ezüglich der Ausfüh rungen von Dr. C.___ und dipl. Ärztin F.___</w:t>
      </w:r>
    </w:p>
    <w:p>
      <w:r>
        <w:t>ist auch</w:t>
      </w:r>
    </w:p>
    <w:p>
      <w:r>
        <w:t>auf die Erfahrungstatsache hinzuweisen, dass behandelnde Ärztinnen und Ärzte</w:t>
      </w:r>
    </w:p>
    <w:p>
      <w:r>
        <w:t>mitunter im Hinblick auf ihre auftragsrechtliche Vertrauensstellung in Zweifelsfällen eher zu Gunsten ihrer Patientinnen und Patienten aussagen (BGE 135 V 465 E. 4.5, 125 V 351 E. 3b/cc).</w:t>
      </w:r>
    </w:p>
    <w:p>
      <w:r>
        <w:rPr>
          <w:b/>
        </w:rPr>
        <w:t>E. 4.1</w:t>
      </w:r>
    </w:p>
    <w:p>
      <w:r>
        <w:t>Die Beschwerdeführerin schloss Ende April 2022 die Ausbildung zur «Dipl. Kauf frau VSH» an der G.___ AG mit einem Notenschnitt von 5.3 ab (Urk.</w:t>
      </w:r>
    </w:p>
    <w:p>
      <w:r>
        <w:t>6/165/2)</w:t>
      </w:r>
    </w:p>
    <w:p>
      <w:r>
        <w:t>und trat Mitte August 2022 ein Tr e uhandpraktikum in einem 40</w:t>
      </w:r>
    </w:p>
    <w:p>
      <w:r>
        <w:t>%-Pensum an (vgl. Urk. 6/162, Urk. 6/172). Dies wurde der Beschwerde gegnerin am 14. Oktober 2022 zur Kenntnis gebracht (Urk. 6/160) . Damit liegt unbestritten eine wesentliche Veränderung des Sachverhaltes seit der rentenzu sprechenden Verfügung vom 25. Mai 2022 vor, womit ein Revisionsgrund zu bejahen und eine umfassende materielle Prüfung vorzunehmen ist.</w:t>
      </w:r>
    </w:p>
    <w:p>
      <w:r>
        <w:rPr>
          <w:b/>
        </w:rPr>
        <w:t>E. 4.2.1</w:t>
      </w:r>
    </w:p>
    <w:p>
      <w:r>
        <w:t>Aus medizinischer Sicht attestierten die Gutachter des A .___ ,</w:t>
      </w:r>
    </w:p>
    <w:p>
      <w:r>
        <w:t>es sei eine maximale Präsenz von 6-8 Stunden täglich möglich. Es bestehe ein erhöhter Pausenbedarf und ein etwas reduziertes Rendement, welche eine Leistungseinbusse nach sich zöge n . Es bestehe entsprechend eine Arbeits- und Leistungsfähigkeit von 70 % (vgl. E. 3.1).</w:t>
      </w:r>
    </w:p>
    <w:p>
      <w:r>
        <w:rPr>
          <w:b/>
        </w:rPr>
        <w:t>E. 4.2.2</w:t>
      </w:r>
    </w:p>
    <w:p>
      <w:r>
        <w:t>Gestützt auf die aktuell vorliegende medizinische Aktenlage ist eine höhergradige Arbeitsunfähigkeit nicht ausgewi e sen :</w:t>
      </w:r>
    </w:p>
    <w:p>
      <w:r>
        <w:t>Die Morbus Crohn- Erkrankung besteht seit Jahren, eine erhebliche Verschlech terung dieser ist aufgrund der Berichte von Dr. C.___ nicht anzunehmen. Im Gegenteil, den Akten ist vielmehr zu entnehmen, dass sich der Morbus Crohn in Remission befindet (Urk. 6/180). Darüber hinaus verläuft die Erkrankung in Schüben, so dass eine vorübergehende Aktivierung nicht ohne Weiteres zu einer invalidenversicherungsrechtlich relevanten dauerhaften Verschlechterung führ en würde . Dr. C.___ attestierte</w:t>
      </w:r>
    </w:p>
    <w:p>
      <w:r>
        <w:t>zunächst eine 25%ige Arbeitsunfähigkeit (vgl. Urk. 6/177 ) .</w:t>
      </w:r>
    </w:p>
    <w:p>
      <w:r>
        <w:t>Diese korrigierte er nachträglich , jedoch ohne w eitere Begründung bei ansonsten unveränderten Befunden und Angaben auf 40-60 %. Es ist deshalb davon auszugehen, dass es sich dabei um eine andere Beurteilung eines gleich gebliebenen oder gar verbesserten Gesundheitszustands handelt , zumal dies seit 2021 gelten soll . Gleich verhält es sich mit dem im Rahmen des Beschwerde verfahrens eingereichten Bericht vom 9. Oktober 2024, in welchem er ohne Begründung eine noch geringere Arbeitsfähigkeit von ca. 30</w:t>
      </w:r>
    </w:p>
    <w:p>
      <w:r>
        <w:t>% attestierte (Urk.</w:t>
      </w:r>
    </w:p>
    <w:p>
      <w:r>
        <w:t>3/1).</w:t>
      </w:r>
    </w:p>
    <w:p>
      <w:r>
        <w:rPr>
          <w:b/>
        </w:rPr>
        <w:t>E. 4.2.3</w:t>
      </w:r>
    </w:p>
    <w:p>
      <w:r>
        <w:t>Die gemäss</w:t>
      </w:r>
    </w:p>
    <w:p>
      <w:r>
        <w:t>dipl. Ärztin F.___ seit Jahren bestehenden Hüft- , Knie -</w:t>
      </w:r>
    </w:p>
    <w:p>
      <w:r>
        <w:t>und Rückenschmerzen wurden seitens der A .___ -Gutachter ebenfalls festgehalten, da die Beschwerdeführerin bereits damals über Gelenkbeschwerden klagte (vgl. Urk. 6/132/18; Urk. 6/132/25). Eine Verschlechterung diesbezüglich ist entsprechend nicht dargetan , dies auch weil keine weitergehende Behandlung oder fachärzt liche Untersuchung stattfand, soweit dies aus den Akten ersichtlich ist.</w:t>
      </w:r>
    </w:p>
    <w:p>
      <w:r>
        <w:rPr>
          <w:b/>
        </w:rPr>
        <w:t>E. 4.2.5</w:t>
      </w:r>
    </w:p>
    <w:p>
      <w:r>
        <w:t>Damit ist in medizinischer Hinsicht überwiegend wahrscheinlich erstellt, dass keine wesentliche Veränderung des Gesundheitszustandes vorliegt, sondern im Vergleich zum A .___ -Gutachten vom 26. Oktober 2021 seitens der behandelnden Ärzte lediglich eine andere Beurteilung vorliegt . Damit ist unverändert von eine r Arbeits- und Leistungsfähigkeit von 70 % auszugehen (vgl. E. 3.1) , da eine höhergradige Einschränkung nicht plausibel dargetan wurde .</w:t>
      </w:r>
    </w:p>
    <w:p>
      <w:r>
        <w:t>Von weiteren Abklärungen, wie von der Beschwerdeführerin gefordert, sind keine zusätzlichen Erkenntnisse zu erwarten, weshalb darauf in antizipierter Beweis würdigung (vgl. BGE 122 V 157 E. 1d mit Hinweisen) zu verzichtet ist.</w:t>
      </w:r>
    </w:p>
    <w:p>
      <w:r>
        <w:rPr>
          <w:b/>
        </w:rPr>
        <w:t>E. 5</w:t>
      </w:r>
    </w:p>
    <w:p>
      <w:r>
        <w:t>Zu prüfen bleiben die erwerblichen Auswirkungen, da aufgrund der abge schlossenen Ausbildung zur «Dipl. Kauffrau VSH» veränderte Erwerbsbedingun gen vorliegen.</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Als Erwerbseinkommen im Sinne von Artikel 16 ATSG gelten gemäss Art. 25 Abs. 1 der Verordnung über die Invalidenversicherung (IVV) mutmassliche jähr 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w:t>
      </w:r>
    </w:p>
    <w:p>
      <w:r>
        <w:rPr>
          <w:b/>
        </w:rPr>
        <w:t>E. 5.2</w:t>
      </w:r>
    </w:p>
    <w:p>
      <w:r>
        <w:t>3</w:t>
      </w:r>
    </w:p>
    <w:p>
      <w:r>
        <w:t>Selbst wenn man d ie zwei Semester dauernde Ausbildung (Urk. 6/165/2 , vgl. auch Urk. 6/6/132/6 ) zur « dipl. Kauffrau VSH» zur Berechnung des Valideneinkommens heranziehen wollte, ändert e sich im Ergebnis nichts, wie die nachfolgenden Ausführungen zeigen. In diesem Fall wäre zur Festlegung des hypothetischen Einkommens als dipl. Kauffrau d er Tabellenl ohn TA1, sonstige wirtschaftliche Dienstleistungen (Ziff. 77-82), Frauen, Kompetenzniveau 2, heranzuziehen . Denkbar , aber vorliegend nicht sachgerecht</w:t>
      </w:r>
    </w:p>
    <w:p>
      <w:r>
        <w:t>wäre eine Festsetzung gestützt auf den Tabellenlohn gemäss T17 (LSE 2022, T17, Ziff. 4, Bürokräfte und verwandte Berufe, Frauen, unter 29 Jahre; Fr. 5'200.--) . Der Tabellenlohn T17 kommt namentlich bei Personen in Frage, die vor der Gesundheitsschädigung lange Zeit im betreffenden Bereich tätig gewesen waren, was im Falle der Beschwerde führerin nicht der Fall ist (vgl. dazu Urteile des Bundesgerichts 8C_709/2023 vom 8. Mai 2024 E. 6.2.1, 9C_237/2007 vom 24. August 2007 E. 5.1). Gestützt auf die Tabelle TA1 beträgt der massgebende Tabellenwert Fr. 5’097.-- (LSE 2022, TA1 , Monatlicher Bruttolohn [Zentralwert] nach Wirtschaftszweigen, Kompetenz niveau und Geschlecht, Privater Sektor, Ziff. 77-82, sonstige wirtschaftliche Dienstleistungen, Frauen, Kompetenzniveau 2). Bereinigt um die Nominallohn entwicklung bis ins Jahr 2024 (Nominallohnindex, Frauen 2021-2024, Ziff. 77-82, 2022 101.7, 2024 105.7) sowie die betriebsübliche Arbeitszeit von 41.8 Stunden (Betriebsübliche Arbeitszeit nach Wirtschaftsabteilungen in Stunden pro Woche, Ziff. 77-82 Erbringung von sonstigen wirtschaftlichen Dienstleistungen, 2024) resultiert ein anrechenbares Valideneinkommen in Höhe von Fr. 66'430.30 (Fr. 5'097. -- : 40 x 41.8 : 101.7 x 105.7 x 12).</w:t>
      </w:r>
    </w:p>
    <w:p>
      <w:r>
        <w:rPr>
          <w:b/>
        </w:rPr>
        <w:t>E. 5.3.1</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Vom statistisch bestimmten Wert des Einkommens mit Invalidität (Art. 26 bis Abs. 2 i.V.m . Art. 25 Abs. 3 IVV) werden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rPr>
          <w:b/>
        </w:rPr>
        <w:t>E. 5.3.2</w:t>
      </w:r>
    </w:p>
    <w:p>
      <w:r>
        <w:t>Die Beschwerdeführerin beendete die Ausbildung «Dipl. Kauffrau VSH» mit einer Durchschnittsnote von 5.3 erfolgreich . Das Invalideneinkommen ist gestützt auf die entsprechend e Verdienstmöglichkeit und damit ausgehend vom Tabellenlohn</w:t>
      </w:r>
    </w:p>
    <w:p>
      <w:r>
        <w:t>gemäss TA1, sonstige wirtschaftliche Dienstleistungen, Frauen, Kompetenzniveau 2, für das Jahr 2024 in Höhe von Fr. 66'430.30 festzusetzen ( v gl. E. 5.2.3 hiervor ). Unter Berücksichtigung der Arbeitsfähigkeit von 70 % sowie des Pauschalabzuges von 10 % (vgl. E. 5.3.1) resultiert ein anrechenbares Invalideneinkommen in Höhe von Fr. 41'851.10 (Fr. 66'430.30 x 0.7 x 0.9). Soweit die Beschwerdeführerin ein (massiv) geringeres Einkommen generiert (vgl. Urk. 6/173, Urk. 6/188), ist davon auszugehen, dass sie ihre effektive Erwerbsmöglichkeit nicht ausschöpft.</w:t>
      </w:r>
    </w:p>
    <w:p>
      <w:r>
        <w:rPr>
          <w:b/>
        </w:rPr>
        <w:t>E. 5.4</w:t>
      </w:r>
    </w:p>
    <w:p>
      <w:r>
        <w:t>Stellt man das Valideneinkommen als Detailshandelsfachangestellte in Höhe von Fr. 61'794.65 dem Invalideneinkommen von Fr. 41'851.10 gegenüber, resultiert eine Einkommenseinbusse in Höhe von Fr. 19'943.55, was einem rentenaus schliessenden Invaliditätsgrad von 32 % entspricht.</w:t>
      </w:r>
    </w:p>
    <w:p>
      <w:r>
        <w:t>Ausgehend davon, dass das Valideneinkommen gestützt auf die abgeschlossene Ausbildung zur « dipl. Kauffrau VSH» in Höhe von Fr. 66'430.30 festzusetzen wäre, resultiert e eine Einkommenseinbusse in Höhe von Fr. 24'579.20, was einem rentenausschliessenden Invaliditätsgrad von 37 % entspricht.</w:t>
      </w:r>
    </w:p>
    <w:p>
      <w:r>
        <w:rPr>
          <w:b/>
        </w:rPr>
        <w:t>E. 5.5</w:t>
      </w:r>
    </w:p>
    <w:p>
      <w:r>
        <w:t>Zusammenfassend resultiert ein rentenausschliessender Invaliditätsgrad, womit sich die angefochtene Verfügung als rechtens erweist und die Beschwerde abzu weisen</w:t>
      </w:r>
    </w:p>
    <w:p>
      <w:r>
        <w:t>ist .</w:t>
      </w:r>
    </w:p>
    <w:p>
      <w:r>
        <w:rPr>
          <w:b/>
        </w:rPr>
        <w:t>E. 6</w:t>
      </w:r>
    </w:p>
    <w:p>
      <w:r>
        <w:t>Da die Bewilligung oder Verweigerung von Versicherungsleistungen zu beur tei 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 füh 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