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IV.2024.00523 vom 20. Februar 2025</w:t>
      </w:r>
    </w:p>
    <w:p>
      <w:r>
        <w:t>ZH Sozialversicherungsgericht, 2025-02-20, DE</w:t>
      </w:r>
    </w:p>
    <w:p>
      <w:r>
        <w:rPr>
          <w:b/>
        </w:rPr>
        <w:t xml:space="preserve">Quelle: </w:t>
      </w:r>
      <w:r>
        <w:t>https://mcp.opencaselaw.ch/entscheid/zh_sozialversicherungsgericht_IV.2024.00523</w:t>
      </w:r>
    </w:p>
    <w:p>
      <w:r>
        <w:t>FR: ZH_SOZIALVERSICHERUNGSGERICHT IV.2024.00523 du 20 février 2025</w:t>
      </w:r>
    </w:p>
    <w:p>
      <w:r>
        <w:t>IT: ZH_SOZIALVERSICHERUNGSGERICHT IV.2024.00523 del 20 febbraio 2025</w:t>
      </w:r>
    </w:p>
    <w:p>
      <w:pPr>
        <w:pStyle w:val="Heading2"/>
      </w:pPr>
      <w:r>
        <w:t>Erwägungen</w:t>
      </w:r>
    </w:p>
    <w:p>
      <w:r>
        <w:rPr>
          <w:b/>
        </w:rPr>
        <w:t>E. 1.1</w:t>
      </w:r>
    </w:p>
    <w:p>
      <w:r>
        <w:t>Für die Umschreibung des Prozessthemas ist nach den Regeln über den Anfech tungs- und Streitgegenstand zu verfahren. Streitgegenstand im System der nach träglichen Verwaltungsrechtspflege ist das Rechtsverhältnis, welches – im Rahmen des durch die Verfügung beziehungsweise den Einspracheentscheid bestimmten Anfechtungsgegenstandes – den aufgrund der Beschwerdebegehren effektiv angefochtenen Verfügungsgegenstand bildet (BGE 144 I 11 E. 4.3, 125</w:t>
      </w:r>
    </w:p>
    <w:p>
      <w:r>
        <w:t>V</w:t>
      </w:r>
    </w:p>
    <w:p>
      <w:r>
        <w:t>413 E. 1b). Anfechtungs- und Streit gegenstand sind danach identisch, wenn die Verwaltungsverfügung beziehungsweise der Einspracheentscheid insgesamt angefochten wird. Bezieht sich demgegenüber die Beschwerde nur auf einzelne der durch den Entscheid bestimmten Rechtsverhältnisse, gehören die nicht bean standeten Rechtsverhältnisse zwar wohl zum Anfechtungs-, nicht aber zum Streitgegenstand (BGE 131 V 164 E. 2.1).</w:t>
      </w:r>
    </w:p>
    <w:p>
      <w:r>
        <w:t>Der Streitgegenstand umfasst immer ein ganzes Rechtsverhältnis und nicht ledig lich einen Teilaspekt desselben. Werden, was die Regel ist, nur einzelne Elemente eines Entscheids (bei der Rentenfestsetzung beispielsweise Invaliditätsgrad oder Rentenbeginn) beanstandet, bedeutet dies nicht, dass die unbestrittenen Teilas pekte in Rechtskraft erwachsen und demzufolge der richterlichen Überprüfung entzogen sind. Die Beschwerdeinstanz überprüft den Streitgegenstand bestim mende, aber nicht beanstandete Elemente indes nur, wenn hierzu aufgrund der Vorbringen der Parteien oder anderer sich aus den Akten ergebender Anhalts punkte hinreichender Anlass besteht.</w:t>
      </w:r>
    </w:p>
    <w:p>
      <w:r>
        <w:rPr>
          <w:b/>
        </w:rPr>
        <w:t>E. 1.2</w:t>
      </w:r>
    </w:p>
    <w:p>
      <w:r>
        <w:t>Gegenstand der Verfügung vom 16. Juli 2024 ( Urk. 2) sind - trotz des irrefüh renden Titels «Kein Anspruch auf eine Invalidenrente» - sowohl Rentenleistungen wie auch berufliche Massnahmen . Im Verfügungsdispositiv , das in Rechtskraft erwächst, wurden sämtliche Leistungen verneint («Das Leistungsbegehren wird abgewiesen») . Aus der Begründung ergibt sich, dass die Beschwerdegegnerin damit zum einen den Rentenanspruch verneinte aufgrund der Ansicht, der Beschwerdeführer sei weiterhin zu 100 % arbeitsfähig in einer angepassten Tätigkeit und könne damit ein rentenauschliessendes Einkommen erzielen. Zum andern verneinte sie deshalb auch ausdrücklich einen Umschulungsanspruch (« Es</w:t>
      </w:r>
    </w:p>
    <w:p>
      <w:r>
        <w:t>besteht kein Anspruch auf Umschulung» ).</w:t>
      </w:r>
    </w:p>
    <w:p>
      <w:r>
        <w:t>Aus den in der Beschwerde vom 1 6. September 2024 gestellten Anträgen, welche einzig auf berufliche Massnahmen (insbesondere Umschulung) abzielen ( Urk. 1</w:t>
      </w:r>
    </w:p>
    <w:p>
      <w:r>
        <w:t>S. 2), ergibt sich, dass der Beschwerdeführer die leistungsabweisende Verfügung vom 1 6. Juli 2024 dahingehend anficht, dass er berufliche Mass - nahmen verlangt. Streitgegenstand und Prozessthema im vorliegenden Verfahren ist folglich ein Anspruch des Beschwerdeführers auf berufliche Massnahmen. 2. 2. 1</w:t>
      </w:r>
    </w:p>
    <w:p>
      <w:r>
        <w:t>Invalide oder von einer Invalidität (Art. 8 des Bundesgesetz es über den Allge meinen Teil des Sozialversicherungsrechts ; ATSG ) bedrohte Versicherte haben gemäss Art. 8 Abs. 1 des Bundesgesetz über die Invalidenversicherung (IVG) in der seit 1. Januar 2022 in Kraft stehenden Fassung Anspruch auf Eingliederungs 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w:t>
      </w:r>
    </w:p>
    <w:p>
      <w:r>
        <w:t>Die Eingliederungsmassnahmen bestehen gemäss Abs atz 3 in medizinischen Massnahmen (lit. a), Beratung und Begleitung (lit. a bis ), Integrationsmassnahmen zur Vorbereitung auf die berufliche Eingliederung (lit. a ter ), Massnahmen berufli cher Art (lit. b) und in der Abgabe von Hilfsmitteln (lit. d). 2 . 2</w:t>
      </w:r>
    </w:p>
    <w:p>
      <w:r>
        <w:t>Unter die Massnahmen beruflicher Art fällt die Umschulung. Gemäss Art. 17 IVG hat die versicherte Person Anspruch auf Umschulung auf eine neue Erwerbstä tigkeit, wenn die Umschulung infolge Invalidität notwendig ist und dadurch die Erwerbsfähigkeit voraussichtlich erhalten oder verbessert werden kann (Abs. 1). Der Umschulung auf eine neue Erwerbstätigkeit ist die Wiedereinschulung in den</w:t>
      </w:r>
    </w:p>
    <w:p>
      <w:r>
        <w:t>bisherigen Beruf gleichgestellt (Abs. 2). Als Umschulung gelten gemäss Art. 6</w:t>
      </w:r>
    </w:p>
    <w:p>
      <w:r>
        <w:t>Abs. 1 der Verordnung über die Invalidenversicherung (IVV) Ausbildungs - mass nahmen, die Versicherte nach Abschluss einer erstmaligen beruflichen Ausbil dung oder nach Aufnahme einer Erwerbstätigkeit ohne vorgängige berufliche Ausbildung wegen ihrer Invalidität zur Erhaltung oder Verbesserung der Erwerbs fähigkeit benötigen.</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130 V 488 E. 4.2, 124 V 108 E. 2a und b, je mit Hinweisen; vgl. auch Urteil des Bundesgerichts 8C_266/2021 vom 13. Juli 2021 E. 4.2.3 mit Hinweisen). 2 .3</w:t>
      </w:r>
    </w:p>
    <w:p>
      <w:r>
        <w:t>Das Gericht kann die Angelegenheit zu neuer Entscheidung an die Vorinstanz zurückweisen, besonders wenn mit dem angefochtenen Entscheid nicht auf die</w:t>
      </w:r>
    </w:p>
    <w:p>
      <w:r>
        <w:t>Sache eingetreten oder der Sachverhalt ungenügend festgestellt wurde (§ 26</w:t>
      </w:r>
    </w:p>
    <w:p>
      <w:r>
        <w:t>Abs. 1 des Gesetz es über das Sozialversicherungsgericht ; GSVGer ).</w:t>
      </w:r>
    </w:p>
    <w:p>
      <w:r>
        <w:rPr>
          <w:b/>
        </w:rPr>
        <w:t>E. 2</w:t>
      </w:r>
    </w:p>
    <w:p>
      <w:r>
        <w:t>Gegen diese Verfügung erhob der Versicherte am 1 6. September 2024 unter Beilage weiterer Arztberichte ( Urk. 3/3-5) Beschwerde mit dem Antrag, die ange fochtene Verfügung sei aufzuheben und es seien ihm berufliche Massnahmen (insbesondere Umschulung) zu gewähren ( Urk. 1 S. 2). Die Beschwerdegegnerin schloss mit Beschwerdeantwort vom 3 0. Oktober 2024 auf Abweisung der Beschwerde ( Urk. 6), was dem Beschwerdeführer mit Gerichtsverfügung vom</w:t>
      </w:r>
    </w:p>
    <w:p>
      <w:r>
        <w:rPr>
          <w:b/>
        </w:rPr>
        <w:t>E. 2.2</w:t>
      </w:r>
    </w:p>
    <w:p>
      <w:r>
        <w:t>). Obwohl die Beschwerde gegnerin in der angefochtenen Verfügung mehrfach ausführte, dem Beschwerde führer sei eine angepasste - und nicht die angestammte - Tätigkeit zu 100 % zumutbar ( Urk. 2 S. 2), hat sie keinen Einkommensvergleich durchgeführt , um zu prüfen, ob die für eine Umschulung erforderliche Erwerbseinbusse gegeben ist.</w:t>
      </w:r>
    </w:p>
    <w:p>
      <w:r>
        <w:t>Ein Umschulungsanspruch darf jedenfalls nicht einzig mit dem Hinweis auf die volle Arbeitsfähigkeit in einer leidensangepassten Tätigkeit verneint werden (Urteil des Bundesgerichts 8C_792/2019 vom 2 8. Februar 2020 E. 4.3).</w:t>
      </w:r>
    </w:p>
    <w:p>
      <w:r>
        <w:rPr>
          <w:b/>
        </w:rPr>
        <w:t>E. 3</w:t>
      </w:r>
    </w:p>
    <w:p>
      <w:r>
        <w:t>.2</w:t>
      </w:r>
    </w:p>
    <w:p>
      <w:r>
        <w:t>Der Beschwerdeführer wandte in seiner Beschwerde vom 1 6. September 2024 zusammengefasst dagegen ein, nachdem sich im Rahmen der Erstanmeldung sein Gesundheitszustand wieder verbessert gehabt habe und er den Gärtnerberuf wieder habe ausüben können, habe er aus eigenem Antrieb die Ausbildung zum Gärtner EFZ gemacht und bestanden. Leider habe sich sein Gesundheit s zustand danach wieder verschlechtert, weshalb er sich wieder bei der Invalidenversiche rung habe anmelden müssen.</w:t>
      </w:r>
    </w:p>
    <w:p>
      <w:r>
        <w:t>Am 1 3. September 2023 habe er sich wegen einer schmerzhaften C6-Radikulopathie einer Operation unterziehen müssen. Er habe nach der Operation wieder die sehr schwere Tätigkeit als Gärtner aufnehmen müssen , weil er keine andere Option gehabt habe . Dies jedoch unter Schmerzen, was nicht nachhaltig sei. Unterdessen habe sich bereits gezeigt, dass die Ausübung dieser Tätigkeit trotz hoher Motivation nicht mehr möglich sei ( Urk. 1</w:t>
      </w:r>
    </w:p>
    <w:p>
      <w:r>
        <w:t>S. 4-5). Langfristig könne er nicht mehr auf seinem Beruf arbeiten. Trotz der durch die Operation erzielten Verbesserung sei ihm die sehr schwere Tätigkeit nicht mehr zumutbar. Mit der erlernten Tätigkeit vermöge er ein Jahresein kommen von Fr. 81'952.-- zu erzielen, wobei die Erwerbseinbusse bei der Ausübung einer angepassten Tätigkeit mindestens 20 % betrage. Er sei 49 Jahre alt und es seien sämtliche Voraussetzungen für den Anspruch auf eine Umschu lung gegeben ( Urk. 1 S. 6 f.).</w:t>
      </w:r>
    </w:p>
    <w:p>
      <w:r>
        <w:rPr>
          <w:b/>
        </w:rPr>
        <w:t>E. 4</w:t>
      </w:r>
    </w:p>
    <w:p>
      <w:r>
        <w:t>.3</w:t>
      </w:r>
    </w:p>
    <w:p>
      <w:r>
        <w:t>Nachdem die IV-Stelle - infolge d es Einwands seitens des Beschwerdeführers - auf seine Neuanmeldung vom 1 2. Juni 2023 eingetreten war (vgl. Urk. 7/132/3) , hatte sie nach dem Gesagten zur Frage eines Umschulungsanspruchs zu prüfen, ob im Vergleich zur Verfügung vom 30.</w:t>
      </w:r>
    </w:p>
    <w:p>
      <w:r>
        <w:t>Mai 2017 eine relevante Veränderung eingetreten ist. Hierbei gelangt - anders als bei der Beurteilung der Eintretens frage (vgl. dazu BGE 130 V 64 E. 5.2.5 ) - der im Sozialversicherungsverfahren geltende Untersuchungsgrundsatz zur Anwendung . Danach haben der Versiche rungsträger oder das Durchführungsorgan und im Beschwerdefall das kantonale Versicherungsgericht von sich aus für die richtige und vollständige Abklärung des rechtserheblichen Sachverhalts zu sorgen (Art. 43 Abs. 1 und Abs. 1 bis sowie Art. 61 lit. c i.V.m. Art. 2 ATSG). Der Untersuchungsgrundsatz wird durch die</w:t>
      </w:r>
    </w:p>
    <w:p>
      <w:r>
        <w:t>Mitwirkungspflicht der Versicherten respektive der Parteien beschränkt (Art. 28</w:t>
      </w:r>
    </w:p>
    <w:p>
      <w:r>
        <w:t>und Art. 43 Abs. 2 ATSG), vor allem in Bezug auf Tatsachen, die sie besser kennen als die (Verwaltungs- oder Gerichts-) Behörde und welche diese sonst gar nicht oder nicht mit vernünftigem Aufwand erheben könnte (BGE 122</w:t>
      </w:r>
    </w:p>
    <w:p>
      <w:r>
        <w:t>V 157 E. 1a; Urteil des Bundesgerichts 9C_341/2020 vom 4. September</w:t>
      </w:r>
    </w:p>
    <w:p>
      <w:r>
        <w:t>2020 E. 2.2 mit Hinweis auf BGE 138 V 86 E. 5.2.3 und 125 V 193 E. 2;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 - suchungsgrund 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Tatsachenfeststellung bestehen, ist weiter zu ermitteln, soweit von zusätzlichen Abklärungsmass - nahmen noch neue wesentliche Erkenntnisse zu erwarten sind (Urteil des Bundesgerichts 8C_257/2018 vom 24. August 2018 E. 3.3.2 mit Hinweis).</w:t>
      </w:r>
    </w:p>
    <w:p>
      <w:r>
        <w:rPr>
          <w:b/>
        </w:rPr>
        <w:t>E. 5</w:t>
      </w:r>
    </w:p>
    <w:p>
      <w:r>
        <w:t>.5</w:t>
      </w:r>
    </w:p>
    <w:p>
      <w:r>
        <w:t>Am 8. Mai 2024 führte die RAD-Ärztin Dr. D.___ aus, der Beschwerdeführer habe zwischenzeitlich seine sehr schwere körperliche Tätigkeit wieder zu 50 % aufgenommen. Dabei sei es zu belastungsabhängigen Nackenschmerzen gekommen. Im Hinblick auf eine längerfristig erhaltene Arbeitsfähigkeit werde - wie auch von den behandelnden Wirbelsäulenchirurgen - dringend empfohlen, auf eine sehr schwere körperliche Tätigkeit zu verzichten. In einer angepassten Tätigkeit sei weiterhin von einer vollen Arbeitsfähigkeit auszugehen (Urk. 7/132/4).</w:t>
      </w:r>
    </w:p>
    <w:p>
      <w:r>
        <w:rPr>
          <w:b/>
        </w:rPr>
        <w:t>E. 6</w:t>
      </w:r>
    </w:p>
    <w:p>
      <w:r>
        <w:t>. 5</w:t>
      </w:r>
    </w:p>
    <w:p>
      <w:r>
        <w:t>Nach dem Gesagten basiert d er angefochtene Entscheid zumindest hinsichtlich des Anspruch s auf Umschulung nicht auf einer rechtsgenügenden Sachverhalts abklärung, weshalb die Sache zur weiteren Abklärung des medizini schen Sach verhalts und der allfälligen erwerblichen Auswirkungen der gesund heitlichen Einschränkungen und der Leistungsansprüche des Beschwerdeführers an die Beschwerdegegnerin zurückzuweisen ist .</w:t>
      </w:r>
    </w:p>
    <w:p>
      <w:r>
        <w:rPr>
          <w:b/>
        </w:rPr>
        <w:t>E. 7</w:t>
      </w:r>
    </w:p>
    <w:p>
      <w:r>
        <w:t>der Verordnung über die Gebühren, Kosten und Entschädigungen vor dem Sozialver sicherungsgericht [ GebV SVGer ]).</w:t>
      </w:r>
    </w:p>
    <w:p>
      <w:r>
        <w:t>Unter Berücksichtigung dieser Grundsätze ist die dem Beschwerdeführer zustehende P artei entschädigung ermessensweise auf Fr. 2’600 . -- (inklusive Barauslagen und Mehrwertsteuer) festzusetzen. Das Gericht erkennt: 1.</w:t>
      </w:r>
    </w:p>
    <w:p>
      <w:r>
        <w:t>Die Beschwerde wird in dem Sinne gutgeheissen, dass die angefochtene Verfügung vom 16 . Juli 2024 aufgehoben und die Sache an die Sozialversicherungsanstalt des Kantons Zürich, IV-Stelle, zurückgewiesen wird, damit diese, nach erfolgter Abklärung im Sinne der Erwägungen, über den Anspruch des Beschwerdeführers auf Massnahmen beruf liche r Art</w:t>
      </w:r>
    </w:p>
    <w:p>
      <w:r>
        <w:t>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2'600 . -- (inkl. Barauslagen und MWST)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