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IV.2024.00505 vom 26. November 2024</w:t>
      </w:r>
    </w:p>
    <w:p>
      <w:r>
        <w:t>ZH Sozialversicherungsgericht, 2024-11-26, DE</w:t>
      </w:r>
    </w:p>
    <w:p>
      <w:r>
        <w:rPr>
          <w:b/>
        </w:rPr>
        <w:t xml:space="preserve">Quelle: </w:t>
      </w:r>
      <w:r>
        <w:t>https://mcp.opencaselaw.ch/entscheid/zh_sozialversicherungsgericht_IV.2024.00505</w:t>
      </w:r>
    </w:p>
    <w:p>
      <w:r>
        <w:t>FR: ZH_SOZIALVERSICHERUNGSGERICHT IV.2024.00505 du 26 novembre 2024</w:t>
      </w:r>
    </w:p>
    <w:p>
      <w:r>
        <w:t>IT: ZH_SOZIALVERSICHERUNGSGERICHT IV.2024.00505 del 26 novembre 2024</w:t>
      </w:r>
    </w:p>
    <w:p>
      <w:pPr>
        <w:pStyle w:val="Heading2"/>
      </w:pPr>
      <w:r>
        <w:t>Erwägungen</w:t>
      </w:r>
    </w:p>
    <w:p>
      <w:r>
        <w:rPr>
          <w:b/>
        </w:rPr>
        <w:t>E. 1</w:t>
      </w:r>
    </w:p>
    <w:p>
      <w:r>
        <w:t>Der 1962 geborene X.___ meldete sich erstmals am 24. Juni 200 9 (Ein gangsdatum) unter Hinweis auf eine depressive Stimmung und eine sehr tiefe körperliche Müdigkeit, sehr starke Konzentrations- und Gedächtnisstörungen so wie andauernde Schmerzen im Magenbereich bei der Sozialversiche rungsan stalt des Kantons Zürich, IV-Stelle, zum Leistungsbezug an (Urk. 6/ 15 ). Die IV-Stelle klärte im Folgenden den erwerblichen und medizi ni schen Sachverhalt ab und wies das Leistungsbegehren mit Verfügung vom 3. Juni 2010 (Urk. 6/33) ab.</w:t>
      </w:r>
    </w:p>
    <w:p>
      <w:r>
        <w:t>Am 13. September 2021 meldete sich der Versicherte nach erfolgter Früh erfassung (Urk. 6/48 ff.) unter Hinweis auf eine Somatisierungsstörung, eine mittelgradige depressive Episode sowie eine Targinabhä n gigke i t</w:t>
      </w:r>
    </w:p>
    <w:p>
      <w:r>
        <w:t>wiederum bei der IV-Stelle zum Leistungsbezug an (Urk. 6/56). Die IV Stelle tätigte erneut beruf lich-erwerb liche sowie medizini sche Abklärun gen und veranlasste eine bi diszipli näre Begutach tung bei der Y.___ AG (Gutachten vom 20. Juli</w:t>
      </w:r>
    </w:p>
    <w:p>
      <w:r>
        <w:t>2023 [Urk. 6/121]). Mit Vorbescheid vom 17. Oktober 2023 stellte sie die Abweisung des Leistungsbegehrens in Aussicht (Urk. 6/131) . Mit Mailnachrichten vom 2 4. und 30. Oktober 2023 ersuchte der Beschwerdeführer um Zustellung der Akten (Urk. 6/132, 134) und m it Schreiben vom 20. November 2023 zusätzlich um Zustellung der Tonaufzeichnungen und Erstreckung der Frist zur Einwand erhebung (Urk. 6/137). In der Folge erstreckte die IV-Stelle die Frist mehrmals (Urk. 6/138 , 6/141, 6/144 ) und forderte den Rechtsvertreter auf, seine Mobile-Nummer anzugeben , damit ihm ein provisorischer Zugangscode für die Plattform für Tonaufnahmen zugestellt werden könne (Urk. 6/147/3-4) . Der Rechtsvertreter ersuchte daraufhin um Zustellung der Tonaufnahmen auf einem Datenträger oder via Secure-Mail oder andernfalls um Erlass einer Verfügung, wonach der ver tretende Anwalt seine Mobile-Nummer herauszugeben habe (Urk. 6/ 147 /1, 3 ). Mit Schreiben vom 17. Juli 2024 gewährte die IV-Stelle eine letztmalige Nachfrist bis 31. August 2024 zur Einreichung von weiteren Unterlagen oder zur Nach besserung des Einwands (Urk. 6/148) und teilte mit E-Mail vom 4. September 2024 mit, dass sie in Bezug auf die Tonaufnahmen keine anfechtbare Verfügung erlassen werde (Urk. 6/154).</w:t>
      </w:r>
    </w:p>
    <w:p>
      <w:r>
        <w:rPr>
          <w:b/>
        </w:rPr>
        <w:t>E. 1.1</w:t>
      </w:r>
    </w:p>
    <w:p>
      <w:r>
        <w:t>Nach Art. 56 des Bundesgesetzes über den Allgemeinen Teil des Sozial ver sicherungsrechts (ATSG) kann gegen Einspracheentscheide oder Verfügungen, gegen welche eine Einsprache ausgeschlossen ist, Beschwerde erhoben werden (Abs. 1). Beschwerde kann auch erhoben werden, wenn der Versicherungsträger entgegen dem Begehren der betroffenen Person keine Verfügung oder keinen Einspracheentscheid erlässt (Abs. 2).</w:t>
      </w:r>
    </w:p>
    <w:p>
      <w:r>
        <w:rPr>
          <w:b/>
        </w:rPr>
        <w:t>E. 1.2</w:t>
      </w:r>
    </w:p>
    <w:p>
      <w:r>
        <w:t>Als Minimalanforderung an ein rechtsstaatliches Verfahren gewährleistet Art. 29 Abs. 1 der Bundesverfassung (BV) den Erlass eines Entscheides innerhalb einer angemessenen Frist (BGE 144 II 486 E. 3.2). Eine Verletzung von Art. 29 Abs. 1 BV – sowie gegebenenfalls von Art.</w:t>
      </w:r>
    </w:p>
    <w:p>
      <w:r>
        <w:rPr>
          <w:b/>
        </w:rPr>
        <w:t>E. 2</w:t>
      </w:r>
    </w:p>
    <w:p>
      <w:r>
        <w:t>Mit Eingabe vom 1</w:t>
      </w:r>
    </w:p>
    <w:p>
      <w:r>
        <w:rPr>
          <w:b/>
        </w:rPr>
        <w:t>E. 2.1</w:t>
      </w:r>
    </w:p>
    <w:p>
      <w:r>
        <w:t>Mit Schreiben vom 17. Juli 2024 (Urk. 6/148 ) gewährte die Beschwerdegegnerin de m Beschwerdeführer eine letztmalige, nicht erstreckbare Nachfrist bis 31. August 2024 zur Einreichung von weiteren Unterlagen oder zur Nach besserung des Einwands gegen den Vorbescheid vom 17. Oktober 202 3. Gleich zeitig wies sie darauf hin, dass gemäss Art. 8b Abs.</w:t>
      </w:r>
    </w:p>
    <w:p>
      <w:r>
        <w:t>2 der Verordnung über den Allgemeinen Teil des Sozialversicherungsrechts (ATSV) die Akteneinsicht grund sätzlich am Sitz des Versicherers oder seiner Durchführungsstelle gewährt werde. Auf Wunsch der gesuchstellenden Person könne der Versicherer Kopien der Akten zustellen. Das Kreisschreiben über die Schweigepflicht und die Datenbekanntgabe in der AHV/IV/EO/EL/ FamZLw / FamZ (KSSD) präzisiere hierzu in R z . 5004, dass die Übermittlung mittels elektronischer Datenträger erfolgen könne. Demnach bestehe kein Anspruch auf eine bestimmte Form der Datenübermittlung und ins besondere nicht auf Zustellung einer CD mit unbeschränkter Verfügbarkeit der Tonaufnahme. Mit der Zustellung eines Links werde dem Akteneinsichtsrecht der versicherten Person ausreichend Rechnung getragen . Die IV-Stelle</w:t>
      </w:r>
    </w:p>
    <w:p>
      <w:r>
        <w:t>forderte den Rechtsvertreter sodann erneut auf, sein e Mobile-Nummer zwecks Zustellung des Links anzugeben oder mitzuteilen , falls die Tonaufnahme am Sitz der SVA Zürich abgehört werden wolle. Mit E-Mail vom 4. September 2024 (Urk. 6/154) hielt die IV-Stelle unter Bezugnahme auf das erwähnte Schreiben weiter fest , dass sie hin sichtlich der Tonaufnahme keine anfechtbare Verfügung erlassen w e rde.</w:t>
      </w:r>
    </w:p>
    <w:p>
      <w:r>
        <w:rPr>
          <w:b/>
        </w:rPr>
        <w:t>E. 2.2</w:t>
      </w:r>
    </w:p>
    <w:p>
      <w:r>
        <w:t>mit Hinweisen). Denn die Akteneinsicht ist, wie schon erwähnt, nicht in ihrer materiellen Substanz tangiert. Geht es, wie hier, bloss um die Art und Weise ihrer Ausübung, handelt es sich nicht um ein Problem der Verfahrensbeteiligung einer Partei, sondern um ein solches der zweck mässigen Verwaltung und ihres Umgangs mit versicherten Personen und deren Rechtsvertretern. Das Anliegen des Beschwerdeführers wäre</w:t>
      </w:r>
    </w:p>
    <w:p>
      <w:r>
        <w:t>deshalb bei Bedarf auf dem Weg der Aufsichtsbeschwerde zu prüfen</w:t>
      </w:r>
    </w:p>
    <w:p>
      <w:r>
        <w:t>( Art. 71 VwVG; vgl. BGE 139 V 492 E. 4.2 ).</w:t>
      </w:r>
    </w:p>
    <w:p>
      <w:r>
        <w:rPr>
          <w:b/>
        </w:rPr>
        <w:t>E. 3</w:t>
      </w:r>
    </w:p>
    <w:p>
      <w:r>
        <w:t>. September 202</w:t>
      </w:r>
    </w:p>
    <w:p>
      <w:r>
        <w:rPr>
          <w:b/>
        </w:rPr>
        <w:t>E. 3.1</w:t>
      </w:r>
    </w:p>
    <w:p>
      <w:r>
        <w:t>Soweit d er Beschwerdeführer mit Blick auf das Anfechtungsobjekt geltend macht e , bei m Schreiben vom 17. Juli 2024 (Urk. 6/148 ) handle es sich materiell um eine Verfügung , kann ihm nicht gefolgt werden. Vielmehr weigerte sich die Beschwerdegegnerin explizit – insbesondere</w:t>
      </w:r>
    </w:p>
    <w:p>
      <w:r>
        <w:t>mit E-Mail vom 4. September 2024 (Urk. 6/154) – , hinsichtlich der Tonaufnahme</w:t>
      </w:r>
    </w:p>
    <w:p>
      <w:r>
        <w:t>eine anfechtbare Verfügung zu er lassen. In Bezug auf den Hauptantrag, wonach dem Beschwerdeführer das recht liche Gehör im Vorbescheidverfahren zu gewähren und ihm uneingeschränkter Zugang zu den Tonaufzeichnungen zu gewähren sei, kann damit mangels Anfechtungsobjekt s auf die Beschwerde nicht eingetreten werden.</w:t>
      </w:r>
    </w:p>
    <w:p>
      <w:r>
        <w:t>Zu prüfen bleibt , ob die Beschwerdegegnerin eine anfecht bare Verfügung über die Art und Weise, wie in die Tonaufnahmen «Einsicht» genommen werden kann, hätte erlassen müssen , mithin eine Rechtsverweigerung vorliegt .</w:t>
      </w:r>
    </w:p>
    <w:p>
      <w:r>
        <w:rPr>
          <w:b/>
        </w:rPr>
        <w:t>E. 3.2</w:t>
      </w:r>
    </w:p>
    <w:p>
      <w:r>
        <w:t>5</w:t>
      </w:r>
    </w:p>
    <w:p>
      <w:r>
        <w:t>Ist nach dem Ausgeführten die für eine selbstständige Anfechtung von Zwi schen verfügungen erforderliche Voraussetzung des nicht wieder</w:t>
      </w:r>
    </w:p>
    <w:p>
      <w:r>
        <w:t>gutzumachen den Nachteils nicht gegeben, fehlt es dem Beschwerdeführer im Rahmen des Rechts ver weigerungsbegehrens an einem schutz würdigen Interesse am Erlass einer ent sprechenden Verfügung, da das Gericht auf eine dagegen erhobene Be schwer de nicht eintreten würde (vgl. auch die in BGE 139 V 492 nicht publi zierte E. 5 des Urteils 9C_520/2013 vom 23. Oktober 2013). Anders zu entschei den – mithin ein schutzwürdiges Interesse am Erlass einer Verfügung zu bejahen und gleich zeitig den nicht wieder</w:t>
      </w:r>
    </w:p>
    <w:p>
      <w:r>
        <w:t>gutzumachenden Nachteil zur Anfechtung derselben zu ver neinen – bedeutete einen formalisti schen Leerlauf. Demzufolge ist die Beschwerde ab zuwei sen, soweit darauf einzutreten ist. 4 . Mit dem Entscheid in der Hauptsache wird der Antrag, wonach die Beschwerde gegnerin anzuweisen sei, das materielle Verfahren bis zum rechtskräftigen Ent scheid in vorliegender Angelegenheit zu sistieren, hinfällig. 5 .</w:t>
      </w:r>
    </w:p>
    <w:p>
      <w:r>
        <w:t>Bei einer Rechtsverzögerungsbeschwerde handelt es sich nicht um eine Leistungs streitigkeit im Sinne von Art. 69 Abs. 1 bis</w:t>
      </w:r>
    </w:p>
    <w:p>
      <w:r>
        <w:t>des Bundesgesetz es über die Invaliden versicherung (IVG) , weshalb das Gerichtsverfahren kostenlos ist (§ 33 Abs. 1 des Gesetz es über das Sozialversicherungsgericht [ GSVGer ] ). Das Gericht erkennt: 1.</w:t>
      </w:r>
    </w:p>
    <w:p>
      <w:r>
        <w:t>Die Beschwerde wird abgewiesen, soweit darauf eingetreten wird. 2 .</w:t>
      </w:r>
    </w:p>
    <w:p>
      <w:r>
        <w:t>Das Verfahren ist kostenlos. 3 .</w:t>
      </w:r>
    </w:p>
    <w:p>
      <w:r>
        <w:t>Zustellung gegen Empfangsschein an: - Rechtsanwalt Sebastian Lorentz - Sozialversicherungsanstalt des Kantons Zürich, IV-Stelle - Bundesamt für Sozialversicherungen 4 .</w:t>
      </w:r>
    </w:p>
    <w:p>
      <w:r>
        <w:t>Gegen diesen Entscheid kann innert 30 Tagen seit der Zustellung beim Bundesgericht Beschwerde eingereicht werden (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 ismittel angerufenen Urkunden sind beizulegen, soweit die Partei sie in Händen hat ( Art. 42 BGG). Sozialversicherungsgericht des Kantons Zürich Die VorsitzendeDie Gerichtsschreiberin PhilippSchilling</w:t>
      </w:r>
    </w:p>
    <w:p>
      <w:r>
        <w:rPr>
          <w:b/>
        </w:rPr>
        <w:t>E. 3.2.1</w:t>
      </w:r>
    </w:p>
    <w:p>
      <w:r>
        <w:t>Eine Verfügung über die Form der Akteneinsicht, wie sie vom Beschwerdeführer verlangt wurde , würde das bei der Beschwerdegegnerin hängige Verfahren betref fend den Anspruch auf Versicherungsleistungen nicht abschliessen. Vielmehr</w:t>
      </w:r>
    </w:p>
    <w:p>
      <w:r>
        <w:t>würde es sich dabei um eine Zwi schenverfügung im Sinne von Art. 55 Abs. 1 ATSG in Verbindung mit Art. 5 Abs. 2 und Art. 46 des Bundesgesetzes über das Verwaltungsverfahren (VwVG) handeln . Eine solche Verfügung kann bei Bejahung eines nicht wieder</w:t>
      </w:r>
    </w:p>
    <w:p>
      <w:r>
        <w:t>gutzumachenden Nachteils ( Art. 46 Abs. 1 lit .</w:t>
      </w:r>
    </w:p>
    <w:p>
      <w:r>
        <w:t>a VwVG) grundsätzlich selbständig mit Beschwerde angefochten werden. Im erst instanzlichen Verfahren genügt praxisgemäss bereits ein tatsächlicher Nachteil, der freilich dann nicht gegeben ist, wenn mit der Anfechtung des Zwischen entscheides nur gerade eine Verlängerung oder Verteu erung des Verfahrens ver mieden werden soll. Ob ein entsprechender Nachteil gegeben ist, wird anhand verschiedener Kriterien beurteilt, wobei jenes Merkmal herangezogen wird, welches dem angefochtenen Entscheid am besten entspricht. Bejaht wurde ein nicht wieder</w:t>
      </w:r>
    </w:p>
    <w:p>
      <w:r>
        <w:t>gut zumachender Nachteil etwa, wenn die Frage der Befangenheit der sachverstän digen Person umstritten ist, wenn es um die Abnahme eines gefährdeten Beweis mittels geht oder die Gewährung der unentgeltlichen Rechts vertretung strittig ist (Kieser, ATSG-Kommentar, 4. Aufl., Zürich 2020, Art. 56 N. 20 mit Hinweisen). 3. 2 .2</w:t>
      </w:r>
    </w:p>
    <w:p>
      <w:r>
        <w:t>In tatsächlicher Hinsicht steht unbestrittenermassen fest, dass dem Beschwerde führer respektive dessen Rechtsvertreter mehrmals angeboten wurde, gegen An gabe der Mobile-Nummer (zwecks Zwei-Faktor-Authentifizierung) einen provisorischen Zugangscode für die Plattform für Tonaufnahmen zu erstellen. Ferner wurde darauf hingewiesen, dass die T onaufnahmen alternativ auch am Sitz der SVA Zürich abgehört werden könn t en (Urk. 6/147, 6/148, 6/149, 6/150 ). Da nicht geltend gemacht wurde , dass mit</w:t>
      </w:r>
    </w:p>
    <w:p>
      <w:r>
        <w:t>diese n Optionen nicht die vollständige Tonaufnahme abgehört werden könnte und keine Hinweise dafür vorliegen, dass dies der Fall wäre,</w:t>
      </w:r>
    </w:p>
    <w:p>
      <w:r>
        <w:t>ist davon auszugehen, dass dem Rechtsvertreter das gesamte Aktenmaterial samt Tonaufnahme zur Verfü gung gestanden hat und er demnach in der Lage gewesen</w:t>
      </w:r>
    </w:p>
    <w:p>
      <w:r>
        <w:t>wäre , die Rechte seines Mandanten in Kenntnis der vollständigen Aktenlage wahrzunehmen. 3. 2 . 3</w:t>
      </w:r>
    </w:p>
    <w:p>
      <w:r>
        <w:t>Die Zustellung der Tonaufnahmen mittels eine s Link s , welcher lediglich das Ab hören des Interviews während eine s gewissen Zeit raum s, nicht aber das Herunterladen zur unbeschränkten Verfügbarkeit ermöglicht, mag dem Beschwerde führer bezie hungsweise dessen Rechtsvertreter als administratives Erschwernis erscheinen. Ein nicht wieder</w:t>
      </w:r>
    </w:p>
    <w:p>
      <w:r>
        <w:t>gutzumachender Nachteil kann aber jedenfalls insofern nicht gegeben sein, als diese Modalität der Akteneinsicht deren mate ri ellen Umfang – und damit das rechtliche Gehör ( Art. 29 Abs. 2 der Bundesver fassung) des Leistungsansprechers – von vornherein nicht zu beein trächtigen vermag ( vgl. BGE 139 V 492 E. 4.1). Andere Umstände, welche sich in irreparabler Weise nachteilig auswirken könnten, sind nicht ersichtlich und wur den auch nicht geltend gemacht. Soweit der Rechtsvertreter gegenüber der Beschwerde gegnerin vorbrachte, über kein Mobile zu verfügen, welches für diese Zwecke verwendbar sei (Urk. 6/147/3) , ist ihm entgegenzuhalten , dass mit der Zusicherung, dass seine Nummer nur für die Zustellung der Tonaufnahmen ver wendet und nach Erstellung des Links wieder gelöscht werde (Urk. 6/147/2-4) , keinerlei Nachteil beziehungsweise kein Missbrauchsrisiko in Bezug auf seine Mobile-Nummer zu befürchten ist. Zudem stand</w:t>
      </w:r>
    </w:p>
    <w:p>
      <w:r>
        <w:t>alternativ die Möglichkeit offen, die Nummer des Beschwerdeführers anzugeben (Urk. 6/150) , was e ntgegen dem Dafürhalten des Rechtsvertreters nicht bedeutet, dass der Beschwerdeführer dies falls auch die ganze Tonaufnahme anhören müsste (Urk. 1 S. 15) , kann sich der Rechtsvertreter den Zugangscode doch einfach über den Beschwerdeführer zu kommen lassen. Und schliesslich kann jederzeit ein erneutes Akteneinsichts gesuch gestellt werden, f alls die verfügbare Zeitdauer des Links – welche in der Regel</w:t>
      </w:r>
    </w:p>
    <w:p>
      <w:r>
        <w:rPr>
          <w:b/>
        </w:rPr>
        <w:t>E. 4</w:t>
      </w:r>
    </w:p>
    <w:p>
      <w:r>
        <w:t>zu gestellt wurde (Urk. 9). Das Gericht zieht in Erwägung: 1.</w:t>
      </w:r>
    </w:p>
    <w:p>
      <w:r>
        <w:rPr>
          <w:b/>
        </w:rPr>
        <w:t>E. 6</w:t>
      </w:r>
    </w:p>
    <w:p>
      <w:r>
        <w:t>Ziff. 1 der Europäischen Menschenrechts konvention (EMRK) (BGE 130 I 174 m.w.H .) – liegt nach der Rechtsprechung unter anderem dann vor, wenn eine Gerichts- oder Verwaltungsbehörde ein Gesuch, dessen Erledigung in ihre Kompetenz fällt, nicht an die Hand nimmt und behandelt. Ein solches Verhalten einer Behörde, welche pflichtwidrig völlig un tätig bleibt oder auf eine ihr frist- und formgerecht unterbreitete Sache nicht eintritt, obschon sie darüber befinden müsste, wird in der Rechtsprechung als formelle Rechtsverweigerung bezeichnet (vgl. BGE 135 I 6 E. 2.1, 134 I 229 E. 2.3, 133 V 188 E. 3.2; vgl. auch Urteil des Bundesgerichts 2C_526/2020 vom 20. Oktober 2020 E. 3.6.2). Art. 29 Abs. 1 BV ist aber auch verletzt, wenn die zuständige Behörde sich zwar bereit zeigt, einen Entscheid zu treffen, diesen aber nicht binnen der Frist fasst, welche nach der Natur der Sache und nach der Gesamtheit der übrigen Umstände als angemessen erscheint (Rechtsverzögerung); die Angemessenheit der Dauer bestimmt sich nicht absolut. Sie ist im Einzelfall unter Berücksichtigung der gesamten Umstände einer Angelegenheit wie der Art, Bedeutung und des Umfangs des Verfahrens, der Schwierigkeit der Materie, des Verhaltens der Beteiligten, der Bedeutung für die Betroffenen sowie der für die Sache spezifischen Entscheidungsabläufe zu prüfen (vgl. BGE 144 II 486 E. 3.2; Urteil des Bundesgerichts 9C_315/2018 vom 5. März 2019 E. 3.2.1). Für die Rechtsuchenden ist es unerheblich, auf welche Gründe – beispielsweise auf ein Fehlverhalten der Behörde oder auf andere Umstände – die Rechtsverweigerung oder Rechtsverzögerung zurückzuführen ist; entscheidend ist ausschliesslich , dass die Behörde nicht oder nicht fristgerecht handelt. Bei der Feststellung einer über mässigen Verfahrensdauer ist daher zu prüfen, ob sich die Umstände, die zur Verlängerung des Verfahrens geführt haben, objektiv rechtfertigen lassen (vgl. BGE 144 II 486 E. 3.2; Urteil des Bundesgerichts 9C_315/2018 vom 5. März 2019 E. 3.2.1 ). 2.</w:t>
      </w:r>
    </w:p>
    <w:p>
      <w:r>
        <w:rPr>
          <w:b/>
        </w:rPr>
        <w:t>E. 9</w:t>
      </w:r>
    </w:p>
    <w:p>
      <w:r>
        <w:t>0 Tage beträgt – nicht als ausreichend erachtet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