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IV.2024.00501 vom 30. September 2025</w:t>
      </w:r>
    </w:p>
    <w:p>
      <w:r>
        <w:t>ZH Sozialversicherungsgericht, 2025-09-30, DE</w:t>
      </w:r>
    </w:p>
    <w:p>
      <w:r>
        <w:rPr>
          <w:b/>
        </w:rPr>
        <w:t xml:space="preserve">Quelle: </w:t>
      </w:r>
      <w:r>
        <w:t>https://mcp.opencaselaw.ch/entscheid/zh_sozialversicherungsgericht_IV.2024.00501</w:t>
      </w:r>
    </w:p>
    <w:p>
      <w:r>
        <w:t>FR: ZH_SOZIALVERSICHERUNGSGERICHT IV.2024.00501 du 30 septembre 2025</w:t>
      </w:r>
    </w:p>
    <w:p>
      <w:r>
        <w:t>IT: ZH_SOZIALVERSICHERUNGSGERICHT IV.2024.00501 del 30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 Nach den allgemeinen Grundsät zen des materiellen intertemporalen Rechts sind bei der Rechtsänderung in zeitlicher Hinsicht diejenigen Rechtssätze massgebend, die bei der Verwirklichung des zu Rechtsfolgen führenden Sachverhalts in Geltung standen.</w:t>
      </w:r>
    </w:p>
    <w:p>
      <w:r>
        <w:rPr>
          <w:b/>
        </w:rPr>
        <w:t>E. 1.2</w:t>
      </w:r>
    </w:p>
    <w:p>
      <w:r>
        <w:t>Zur Beurteilung der Frage des anwendbaren Rechts sind zunächst der Verlauf der Arbeitsunfähigkeit und des Wartejahrs , mithin der mögliche Anspruchsbeginn, zu prüfen. Ab 2 3. September 2019 bis 3 0. April 2020 war die Beschwerdeführerin aufgrund der psychischen Erkrankung</w:t>
      </w:r>
    </w:p>
    <w:p>
      <w:r>
        <w:t>zu 100 % , im Mai 2020 zu 70 % und im Juni 2020 zu 50 % arbeitsunfähig ( Urk. 10/17/2 Ziff.</w:t>
      </w:r>
    </w:p>
    <w:p>
      <w:r>
        <w:rPr>
          <w:b/>
        </w:rPr>
        <w:t>E. 1.3</w:t>
      </w:r>
    </w:p>
    <w:p>
      <w:r>
        <w:t>Über Leistungen, Forderungen und Anordnungen, die erheblich sind oder mit denen die betroffene Person nicht einverstanden ist, hat der Versicherungsträger gemäss Art. 49 Abs. 1 ATSG schriftlich Verfügungen zu erlassen. Die Verfü gungen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 fahren behandelt werden. Die betroffene Person kann nach Art. 51 Abs. 2 ATSG den Erlass einer Verfügung verlangen.</w:t>
      </w:r>
    </w:p>
    <w:p>
      <w:r>
        <w:t>Wird ein – gemäss Art. 51 Abs. 1 ATSG oder einer betreffenden spezial ge setzlichen Bestimmung – zulässigerweise formlos ergangener Verwaltungsakt von der betroffenen Person innert angemessener Frist (vgl. dazu BGE 134 V 145 E. 5.3.1 m.w.H .; Urteil des Bundesgerichts 8C_673/2008 vom 10. Juli 2009 E. 3.1) nicht gerügt, wird er rechtsbeständig (BGE 132 V 412 E. 5; vgl. Urteile des Bundes gerichts 8C_82/2020 vom 12. März 2021 E. 3.1 und 8C_554/2015 vom 19. Oktober 2015 E. 3.4, je m.w.H .). Die Frist für eine Intervention der betroffenen Person gegen einen unzulässigerweise formlos mitgeteilten Entscheid beträgt nach der Rechtsprechung des Bundesgerichts im Regelfall ein Jahr seit der Mit teilung.</w:t>
      </w:r>
    </w:p>
    <w:p>
      <w:r>
        <w:t>Die Beschwerdegegnerin schloss beide Verfahren mit Einverständnis der Beschwerde führerin (vgl. Urk. 10/19; Urk. 10/42) formlos ab ( Urk. 10/22; Urk. 10/43) , ohne dass diese innert Jahresfrist dieses Vorgehen gerügt hätte . Die Mitteilungen vom 2 6. Oktober 2020 und 2 6. August 2022 über den Abschluss der Verfahren und das Nicht-Entstehen eines Leistungsanspruchs entfalteten somit Rechtsbeständigkeit. Das Wartejahr war in beiden Verfahren nicht erfüllt und ein rentenbegründender Invaliditätsgrad wurde verneint, da die Beschwerdegegnerin von einer wiedererlangten volle n Erwerbsfähigkeit ausging . Die nachfolgende , im April 2023 eingetretene gesundheitliche Ver änderung in Form der Epilepsie beziehungs weise dissoziativen Störung (vgl. nachfolgende E. 4.2 )</w:t>
      </w:r>
    </w:p>
    <w:p>
      <w:r>
        <w:t>ist somit als neuer Versicherungsfall zu betrachten mit der Folge, dass die Wartezeit erneut zu bestehen ist (BGE 142 V 547 E. 3.1) . Aufgrund der Neuanmeldung vom 7. Sep tember 2023 ( Urk. 10/52/1-12 ) und dem entsprechend frühest</w:t>
      </w:r>
    </w:p>
    <w:p>
      <w:r>
        <w:t>möglichen Anspruchsbeginn sechs Monate später ( Art. 29 Abs. 1 IVG)</w:t>
      </w:r>
    </w:p>
    <w:p>
      <w:r>
        <w:t>kommt vorliegend</w:t>
      </w:r>
    </w:p>
    <w:p>
      <w:r>
        <w:t>deshalb das ab 1. Januar 2022 geltende Recht zu Anwendung .</w:t>
      </w:r>
    </w:p>
    <w:p>
      <w:r>
        <w:t>1. 4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prozentuale Anteile von 25 bis 47.5 Prozent (Abs. 4). 1. 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ATSG). Das Gericht kann die Angele genheit zu neuer Entscheidung an die Vorinstanz zurückweisen, besonders wenn mit dem ange fochtenen Entscheid nicht auf die Sache eingetreten oder der Sach verhalt unge nü gend festgestellt wurde (§ 26 Abs. 1 des Gesetzes über das Sozial ver siche rungsgericht [ GSVGer ]). 2. 2.1</w:t>
      </w:r>
    </w:p>
    <w:p>
      <w:r>
        <w:t>Die Beschwerdegegnerin begründete den angefochtenen Entscheid ( Urk. 2) wie folgt: Gestützt auf das zuhanden der Pensionskasse erstattete psychiatrische Gut achten von med. pract . A.___</w:t>
      </w:r>
    </w:p>
    <w:p>
      <w:r>
        <w:t>sei von einer wieder vollen Arbeitsfähigkeit in der angestammten Tätigkeit als Mitarbeiterin Personalentwicklung auszugehen. Somit sei keine Erwerbsunfähigkeit ausgewiesen , ein Leistungsanspruch sei nicht entstanden (S. 1). Die im Austrittsbericht der Klinik</w:t>
      </w:r>
    </w:p>
    <w:p>
      <w:r>
        <w:t>C.___</w:t>
      </w:r>
    </w:p>
    <w:p>
      <w:r>
        <w:t>angegebenen Diag nosen seien bereits bekannt und berücksichtigt worden. Die erneute depressive Episode sei gemäss Zuweisung im Kontext eines sehr hektischen Arbeitsalltags bei gleichzeitig hohem subjektiven Leistungsanspruch und Perfektionismus ent standen. Hinzu sei die Ablehnung von beruflichen Wiederein gliederungs m ass nahmen gekommen, welche schliesslich zur psychischen Dekompen sation geführt habe. Im Verlauf der Behandlung hätten die Angst symptome abgenommen, die körperlichen Beschwerden und Krampfanfälle seien verschwunden und die kognitiven Fähigkeiten hätten sich verbessert. Reaktive Störungen auf einen negativen Versicherungsentscheid seien einer adäquaten ärztlichen Behandlung zugänglich. Darin könne keine invalidisierende psychi sche Beeinträchtigung erblickt werden, ansonsten der gesetzliche Invaliditäts begriff seine Konturen ver lieren würde (S. 2). 2.2</w:t>
      </w:r>
    </w:p>
    <w:p>
      <w:r>
        <w:t>Die Beschwerdeführerin machte geltend ( Urk. 1), die Beschwerdegegnerin sei ihrer Abklärungspflicht nicht genügend nachgekommen, obwohl die Pensionskasse eine Verlaufsbeurteilung als notwendig erachtet habe (S. 2 Ziff. 3). Die Beschwerde gegnerin habe zudem das erste Gutachten nicht ihrem regionalen ärztlichen Dienst (RAD) vorgelegt. Es treffe nicht zu, dass die Verschlechterung auf die negative Entscheidung der Beschwerdegegnerin zurückzuführen sei, viel mehr sei ihr bereits im August 2024 bekanntgegeben worden, dass ein Verlaufs gutachten geplant sei (S. 5 Ziff. 7). Sie (die Beschwerdeführerin) habe über die Jahre immer wieder versucht zu reüssieren und sei dabei zumindest für eine gewisse Dauer erfolgreich gewesen, doch gelinge ihr dies trotz hoher Motivation nicht mehr. Die Beschwerde gegn erin sei deshalb zu verpflichten, ihren Anspruch auf berufliche Massnahmen und eine Rente zu prüfen. Der Sachverhalt sei erneut abzuklären . Dem Verlaufsgutachten sei weiter zu entnehmen, dass das Gutachten von med. pract . A.___ nicht schlüssig sei und nur eine Arbeitsfähigkeit für Ein gliederungs massnahmen bestehe ( Urk. 6). 2.3</w:t>
      </w:r>
    </w:p>
    <w:p>
      <w:r>
        <w:t>Streitig und zu prüfen ist der Invaliditätsgrad der Beschwerdeführerin und damit zusammenhängend die Frage, ob die vorhandenen Akten eine entsprechende Beurtei lung zulassen. 3. 3.1</w:t>
      </w:r>
    </w:p>
    <w:p>
      <w:r>
        <w:t>Am 7. September 2023 meldete sich die Beschwerdeführerin aufgrund der zunächst vermuteten Epilepsie</w:t>
      </w:r>
    </w:p>
    <w:p>
      <w:r>
        <w:t>erneut bei der Beschwerdegegnerin zum Leistungs bezug an ( Urk. 10/52). Zu diesem Zeitpunkt befand sie sich in ungekün digter Anstellung beim Z.___ , Bassersdorf (vgl. Urk. 10/52</w:t>
      </w:r>
    </w:p>
    <w:p>
      <w:r>
        <w:t>Ziff. 5.4). Ab April 2023 war sie an folgenden ein zelnen Tagen vollständig arbeitsunfähig (vgl. Urk. 10/52 Ziff. 4.3; vgl. auch Urk. 10/52/9; Urk. 10/68/14; Urk. 10/68/16):</w:t>
      </w:r>
    </w:p>
    <w:p>
      <w:r>
        <w:t>6. April 2023</w:t>
      </w:r>
    </w:p>
    <w:p>
      <w:r>
        <w:t>18.-2 1. April 2023</w:t>
      </w:r>
    </w:p>
    <w:p>
      <w:r>
        <w:t>3. Mai 2023</w:t>
      </w:r>
    </w:p>
    <w:p>
      <w:r>
        <w:t>11.-1 2. Mai 2023</w:t>
      </w:r>
    </w:p>
    <w:p>
      <w:r>
        <w:t>5. Juni 2023</w:t>
      </w:r>
    </w:p>
    <w:p>
      <w:r>
        <w:t>2.- 4. August 2023</w:t>
      </w:r>
    </w:p>
    <w:p>
      <w:r>
        <w:t>9.-1 1. August 2023</w:t>
      </w:r>
    </w:p>
    <w:p>
      <w:r>
        <w:t>1 4. August 2023</w:t>
      </w:r>
    </w:p>
    <w:p>
      <w:r>
        <w:t>1 7. August 2023</w:t>
      </w:r>
    </w:p>
    <w:p>
      <w:r>
        <w:t>22.-2 5. August 2023</w:t>
      </w:r>
    </w:p>
    <w:p>
      <w:r>
        <w:t>Ab 2 9. August bis 2 4. November 2023 war die Beschwerdeführerin durchgehend vollständig arbeitsunfähig ( Urk. 10/68/2; Urk. 10/68/19) , und m ed. pract . A.___ erwähnte im Februar 2024 eine mehr als 10 Monate dauernde Krankschreibung ( Urk. 10/78 S. 25) . 3.2</w:t>
      </w:r>
    </w:p>
    <w:p>
      <w:r>
        <w:t>Die Wartezeit nach Art. 28 Abs. 1 lit . b IVG ist eine materielle Anspruchsvoraus setzung für die Rentenberechtigung. Das Gesetz macht keine Vorgaben betreffend den Beginn oder das Ende der Wartezeit nach Art. 28 Abs. 1 lit . b IVG. Es genügt eine Arbeitsunfähigkeit von durchschnittlich mindestens 40 % ohne wesentlichen Unterbruch während eines Jahres. Ein wesentlicher Unterbruch der Arbeitsun fähig keit im Sinne von Art. 28 Abs. 1 lit . b IVG liegt vor , wenn die ver sicherte Person an mindestens 30 aufeinanderfolgenden Tagen voll arbeitsfähig war ( Art. 29ter IVV; vgl. Urteil des Bundesgerichts 8C_633/2017 vom 1 6. Februar 2018 E. 3 mit Hinweisen).</w:t>
      </w:r>
    </w:p>
    <w:p>
      <w:r>
        <w:t>Aus der aufgelisteten Übersicht über die Krankheitstage ergibt sich, dass die Beschwerde führerin zwischen den einzelnen Tagen von Arbeitsunfähigkeit im Zeitraum vom 6. Juni bis 1. August 2023, somit während mehr als 30</w:t>
      </w:r>
    </w:p>
    <w:p>
      <w:r>
        <w:t>aufeinan der folgenden Tagen und</w:t>
      </w:r>
    </w:p>
    <w:p>
      <w:r>
        <w:t>während der noch laufenden Anstellung voll ständig arbeitsfähig war. Für diese Zeit wurde keine Arbeitsunfähigkeit attestiert . Damit liegt ein wesentlicher Unterbruch der Arbeitsunfähigkeit im Sinne von Art. 28 Abs. 1 lit . b IVG vor. Somit begann das Wartejahr im August 2023 und war dem entsprechend im August 2024 erreicht . 4. 4.1</w:t>
      </w:r>
    </w:p>
    <w:p>
      <w:r>
        <w:t>Mit Bericht vom 1 1. August 2023 ( Urk. 10/57) stellte Dr. med. D.___ , Leitender Arzt der Klinik für Neurologie am Spital E.___ , fol gende, hier verkürzt wiedergegebene Diagnosen (S. 1): - strukturelle Epilepsie mit erstem epileptischem Anfall am 6. April 2023 im Rahmen des linksfrontalen Meningeoms, differentialdiagnostisch (DD) zusätz lich unter Duloxetin - nachfolgend rezidivierende Anfälle - links-frontales Meningeom 9x10 mm - arterielle Hypertonie - Hypercholesterinämie - Depression</w:t>
      </w:r>
    </w:p>
    <w:p>
      <w:r>
        <w:t>Die Frequenz der tonischen Anfälle habe sich zunächst unter Aufdosierung des Lamotrigins stark reduziert, wobei jetzt wieder eine Anfallssteigerung zu beobach ten gewesen sei trotz gleichbleibender Einnahme. Die medikamentöse Behand lung sei weiter aufzudosieren. Sollten sich die Anfälle als epileptisch sichern lassen, weiterhin therapieresistent sein und sich der Anfallsursprung auf das Meningeom lokalisieren lassen, müsste eine operative Behandlung desselben erfolgen (S. 2 unten). 4.2</w:t>
      </w:r>
    </w:p>
    <w:p>
      <w:r>
        <w:t>Vom 2 5. Oktober bis 7. November 2023 war die Beschwerdeführerin in der Klinik F.___ hospitalisiert. Mit Austrittsbericht vom 2 3. November 2023 ( Urk. 10/ 71/ 4</w:t>
      </w:r>
    </w:p>
    <w:p>
      <w:r>
        <w:rPr>
          <w:b/>
        </w:rPr>
        <w:t>E. 6</w:t>
      </w:r>
    </w:p>
    <w:p>
      <w:r>
        <w:t>7; Urk. 10/1/9 ) . V on November 2006 bis April 20</w:t>
      </w:r>
    </w:p>
    <w:p>
      <w:r>
        <w:rPr>
          <w:b/>
        </w:rPr>
        <w:t>E. 6.1</w:t>
      </w:r>
    </w:p>
    <w:p>
      <w:r>
        <w:t>). Die IV-Stelle holte medizinische Berichte ( Urk. 10/57 -58 ; Urk. 10/61 ; Urk. 10/68/10- 12; Urk. 10/71 ) und die Akten der Krankentaggeld versicherung ( Urk. 10/68/1-1</w:t>
      </w:r>
    </w:p>
    <w:p>
      <w:r>
        <w:rPr>
          <w:b/>
        </w:rPr>
        <w:t>E. 08</w:t>
      </w:r>
    </w:p>
    <w:p>
      <w:r>
        <w:t>, Juni 2010 bis Juni 2014 und von Oktober 2016 bis April 2020</w:t>
      </w:r>
    </w:p>
    <w:p>
      <w:r>
        <w:t>war sie in einem Pensum von 80 %</w:t>
      </w:r>
    </w:p>
    <w:p>
      <w:r>
        <w:t>bei der Y.___ , Glattbrugg, als Mitarbeiter in der Administration tätig ( Urk. 10/1/4 ; Urk. 10/2 Ziff. 5.4 ). Am 1 9. März 2020 meldete sie sich unter Hinweis auf eine Depressio n erstmals bei der Invalidenver sicherung zum Leistungsbezug an ( Urk. 10/2 Ziff. 6). Die Sozialversicherungs anstalt des Kantons Zürich, IV-Stelle, tätigte erwerbliche ( Urk. 10/7) und medizi nische ( Urk. 10/17/1-12) Abklärungen und zog die Akten der Krankentaggeld versicherung ( Urk. 10/12/1-35) bei. Ab 6. Juli 2020 war die Versicherte wieder in einem Pensum von 60 % als kaufmännische Mitarbeiterin beim Z.___ , Bassersdorf, arbeitstätig ( Urk. 10/18; Urk. 10/29). Nach entsprechender Mitteilung der Versicherten ( Urk. 10/19) schloss die IV-Stelle das Verfahren mit Schreiben vom 2 6. Oktober 2020 formlos ab , da die Beschwerdeführerin ihre Erwerbstätigkeit per 6. Juli 2020 wieder voll umfänglich habe aufnehmen können und somit kein Leistung s anspruch entstehe ( Urk. 10/22).</w:t>
      </w:r>
    </w:p>
    <w:p>
      <w:r>
        <w:t>Am 9. Dezember 2021 ( Urk. 10/27) machte die Versicherte unter Hinweis auf die frühere Anmeldung eine Verschlechterung geltend. Die IV-Stelle trat auf das neue Leistungsgesuch ein ( Urk. 10/28) und tätigte erwerbliche ( Urk. 10/29) und medi zinische ( Urk. 10/32 ) Abklärungen. Am 1 4. Juni 2022 teilte die Versicherte mit, das s sie ab 1. Juni 2022 wieder in einem Pensum von 60 % arbeitstätig sei ( Urk. 10/40), worauf die IV-Stelle das Verfahren mit Schreiben vom 2 6. August 2022 mit Einverständnis der Versicherten</w:t>
      </w:r>
    </w:p>
    <w:p>
      <w:r>
        <w:t>erneut formlos abschloss , da kein Leistungs anspruch entstanden sei ( Urk. 10/43).</w:t>
      </w:r>
    </w:p>
    <w:p>
      <w:r>
        <w:rPr>
          <w:b/>
        </w:rPr>
        <w:t>E. 9</w:t>
      </w:r>
    </w:p>
    <w:p>
      <w:r>
        <w:t>V 547 E. 5.2, 127 V 294 E. 4c; vgl. Art. 7 Abs. 2 ATSG).</w:t>
      </w:r>
    </w:p>
    <w:p>
      <w:r>
        <w:t>Mit BGE 143 V 418 entschied das Bundesgericht, dass grundsätzlich sämtliche psychischen Erkrankungen für die Beurteilung der Arbeitsfähigkeit einem struktu rierten Beweisverfahren nach BGE 141 V 281 zu unterziehen sind (E. 6 und 7, Änderung der Rechtsprechung; vgl. BGE 143 V 409 E. 4.5.2 speziell mit Bezug auf leichte bis mittelschwere Depressionen).</w:t>
      </w:r>
    </w:p>
    <w:p>
      <w:r>
        <w:rPr>
          <w:b/>
        </w:rPr>
        <w:t>E. 11</w:t>
      </w:r>
    </w:p>
    <w:p>
      <w:r>
        <w:t>. Juli 2024 aufzuheben und die Sache ist an die Beschwerdegegnerin zurück zuweisen, damit diese nach ergänzter medizinischer und allfällig erwerblicher Aktenlage über den Anspruch der Beschwerdeführerin auf Leistungen der Invaliden versicherung neu verfüge. In diesem Sinne ist die Beschwerde gutzu heissen. 7. 7.1</w:t>
      </w:r>
    </w:p>
    <w:p>
      <w:r>
        <w:t>Das Beschwerdeverfahren bei Streitigkeiten über IV-Leistungen vor dem kanto nalen Versicherungsgericht ist kostenpflichtig. Die Kosten werden nach dem Ver fahrens aufwand und unabhängig vom Streitwert im Rahmen von Fr. 200.-- bis Fr. 1'000.-- festgelegt (Art. 69 Abs. 1 bis IVG). Im vorliegenden Verfahren sind sie ermessensweise auf Fr. 700.-- anzusetzen und ausgangsgemäss der unterlie gen den Beschwerdegegnerin aufzuerlegen. 7.2</w:t>
      </w:r>
    </w:p>
    <w:p>
      <w:r>
        <w:t>Nach ständiger Rechtsprechung gilt die Rückweisung der Sache an die Verwal tung zur weiteren Abklärung und neuen Verfügung sowohl für die Frage der Auferlegung der Gerichtskosten wie auch der Parteientschädigung als vollstän di ges Obsiegen (BGE 137 V 57; vgl. auch BGE 141 V 281 E. 11.1 mit Hinweis), weshalb die vertretene Beschwerdeführer in Anspruch auf eine Parteient schädigung hat.</w:t>
      </w:r>
    </w:p>
    <w:p>
      <w:r>
        <w:t>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Die Parteientschädigung ist vorliegend unter Berücksichtigung dieser Kriterien und beim praxisgemässen Stundenansatz von Fr. 280.-- (zuzüglich Mehrwert steuer) auf Fr. 2 ’ 5 00.-- (inklusive Barauslagen und Mehrwertsteuer) festzulegen und ausgangsgemäss der Beschwerdegegnerin aufzuerlegen. Das Gericht erkennt: 1.</w:t>
      </w:r>
    </w:p>
    <w:p>
      <w:r>
        <w:t>Die Beschwerde wird in dem Sinne gutgeheissen, dass die angefochtene Verfügung vom 1 1. Juli 2024 aufgehoben und die Sache an die Sozialversicherungsanstalt des Kantons Zürich, IV-Stelle, zurückgewiesen wird, damit diese, nach erfolgter Abklärung im Sinne der Erwägungen, neu über den Leistungsanspruch entscheide.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2’500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