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IV.2024.00464 vom 18. Dezember 2025</w:t>
      </w:r>
    </w:p>
    <w:p>
      <w:r>
        <w:t>ZH Sozialversicherungsgericht, 2025-12-18, DE</w:t>
      </w:r>
    </w:p>
    <w:p>
      <w:r>
        <w:rPr>
          <w:b/>
        </w:rPr>
        <w:t xml:space="preserve">Quelle: </w:t>
      </w:r>
      <w:r>
        <w:t>https://mcp.opencaselaw.ch/entscheid/zh_sozialversicherungsgericht_IV.2024.00464</w:t>
      </w:r>
    </w:p>
    <w:p>
      <w:r>
        <w:t>FR: ZH_SOZIALVERSICHERUNGSGERICHT IV.2024.00464 du 18 décembre 2025</w:t>
      </w:r>
    </w:p>
    <w:p>
      <w:r>
        <w:t>IT: ZH_SOZIALVERSICHERUNGSGERICHT IV.2024.00464 del 18 dicembre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Dezember 2016 anhängig gemachten Neuanmeldung bei der Invalidenversicherung könnten allfällige Leistungen frühestens ab Juni 2017 aus gerichtet werden (vgl. Art. 29 Abs. 1 IVG). In dieser Konstellation ist die bis 31. Dezember 2021 gültig gewesene Rechtslage massgebend, die im Folgen den</w:t>
      </w:r>
    </w:p>
    <w:p>
      <w:r>
        <w:t>soweit nichts anderes vermerkt ist jeweils in dieser Version wieder 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4</w:t>
      </w:r>
    </w:p>
    <w:p>
      <w:r>
        <w:t>). Mit neuem Vorbescheid vom 16. Mai 2024 stellte sie dem Versicherten die Abweisung seines Leistungsbegehrens in Aussicht (Urk. 6/350). Hieran hielt sie nach erhobenem Einwand (Urk. 6/354) mit Verfügung vom 2 8. Juni 2024 fest (Urk. 6/357 = Urk. 2). 2.</w:t>
      </w:r>
    </w:p>
    <w:p>
      <w:r>
        <w:t>Dagegen erhob der Versicherte mit Eingabe vom 27. August 2024 Beschwerde und beantragte, es sei die Verfügung vom 28. Juni 2024 aufzuheben und es sei ihm nach Ablauf des Wartejahres eine ganze Rente zuzusprechen. Eventualiter seien im Rahmen des Beschwerdeverfahrens ergänzende medizinische Abklärungen durchzuführen und – gestützt auf diese – sei sein Leistungsanspruch erneut zu prüfen ( Urk. 1 S. 2). Die IV-Stelle schloss in ihrer Beschwerdeantwort vom 3. Oktober 2024 auf Abweisung der Beschwerde (Urk. 5), was dem Beschwer deführer mit Verfügung vom 4. Oktober 2024 zur Kenntnis gebracht wurde (Urk. 7). Das Gericht zieht in Erwägung: 1.</w:t>
      </w:r>
    </w:p>
    <w:p>
      <w:r>
        <w:rPr>
          <w:b/>
        </w:rPr>
        <w:t>E. 4.1</w:t>
      </w:r>
    </w:p>
    <w:p>
      <w:r>
        <w:t>Das polydisziplinäre Gutachten der A.___ vom 3. März 2021 wurde in Kenntnis der und in Auseinandersetzung mit den relevanten Vorakten (Urk. 6/160/17 ff., 45 ff., 52 f., 61 f., 75 ff., 83 ff., 100 f.) und den vom Beschwe r deführer geklagten Beschwerden (Urk. 6/160/47 ff., 62 ff., 87 ff., 111 f. ) sowie gestützt auf die umfas senden und sorgfältigen fachärztlichen Untersuchungen (Urk. 6/160/50 f., 67 ff., 91 ff., 112 ff. ) erstattet. Die medizinischen Überlegungen sowie die daraus gezogenen Schlussfolgerungen sind nachvollziehbar und detailliert begründet (Urk. 6/160/4 ff., 5 1 ff., 73 ff., 95 ff., 114 ff.). Mithin erfüllt es die an eine beweis kräftige ärztliche Beurteilung gestellten Anforderunge n (vgl. E. 1. 4 ) vollum fänglich.</w:t>
      </w:r>
    </w:p>
    <w:p>
      <w:r>
        <w:rPr>
          <w:b/>
        </w:rPr>
        <w:t>E. 4.2.1</w:t>
      </w:r>
    </w:p>
    <w:p>
      <w:r>
        <w:t>Entgegen der Ansicht des Beschwerdeführers ( Urk. 1 S. 9) waren den Gutachtern sämtliche bis zum Zeitpunkt der Begutachtung stattgehabten Frakturen und opera tiven Eingriffe bekannt und diese fanden im Rahmen der Beurteilung auch hinreichend Berücksichtigung. So hielt der orthopädische Gutachter nach aus führlich durchgeführter und dokumentierter orthopädischer Befunderhebung (Urk. 6/160/91 ff.) insbesondere fest, die früheren knöchernen Verletzungen des rechten Unterschenkels im Jahr 1990, des rechten Unterarms (Radiusfraktur) im Jahr 1995, der BWK 5/6 im Jahr 2005, des linken Knöchels ( Malleolarfraktur ) im Jahr 2006 und des linken Tibiakopfes im Jahr 2007 seien knöchern konsolidiert und klinisch hätten ausser im rechten Arm und linken Sprunggelenk keine Funktionsein schränkungen nachgewiesen werden können (Urk. 6/160/99). Den entsprechenden Funktionseinschränkungen trugen die Gutachter im Rahmen des von ihnen formulierten Belastungsprofils umfassend Rechnung und erachteten nur noch leichte bis mittelschwere Tätigkeiten mit Heben und Tragen von Gewich ten bis maximal 10 kg in rückenschulgerechter Haltung im Wechsel zwischen Gehen, Stehen und Sitzen, in temperierten Räumen als zumutbar und empfahlen das Vermeiden von Tätigkeiten ausserhalb des Körperlotes, mit ruck artigen Bewegungen, Erschütterungen, ständiger nach vorne geneigter Haltung des Oberkörpers, mit längerem Armvorhalt unter Belastung, über Schulterniveau, auf unebener Fläche oder auf Leitern und Gerüsten (Urk. 6/160/9 f.). Mithin fanden auch die vom Beschwerdeführer geltend gemachten LWS-Beschwerden ( Urk. 1 S. 10) Eingang ins Belastungsprofil , obschon die in diesem Bereich demons trierte Funktionseinschränkung im Rahmen der manuellen Untersuchung und bei entspannter Lage nicht bestätigt werden konnte (Urk. 6/160/98) .</w:t>
      </w:r>
    </w:p>
    <w:p>
      <w:r>
        <w:t>Hinreichende Berücksichtigung fanden sodann auch die HIV-Infektion sowie die Hepatitis-C-Infektion, denen die Gutachter keinen Einfluss auf die Arbeitsfä higkeit zuschrieben, nachdem beide Infektionen ausreichend medikamentös thera piert und kontrolliert seien (Urk. 6/160/52). Dies überzeugt.</w:t>
      </w:r>
    </w:p>
    <w:p>
      <w:r>
        <w:rPr>
          <w:b/>
        </w:rPr>
        <w:t>E. 4.2.2</w:t>
      </w:r>
    </w:p>
    <w:p>
      <w:r>
        <w:t>Bezüglich des psychiatrischen Gutachtens wendet d er Beschwerdeführer ein, die seit Jahren bestehende schwere Depression finde darin keinen Niederschlag (Urk. 1 S. 12). Diesbezüglich verkennt er, dass der psychiatrische Gutachter unter Bezugnahme auf den anlässlich der psychiatrischen Untersuchung erhobenen weitgehend unauffälligen Befund (vgl. Urk. 6/16/67 ff, wonach sich beim Beschwer deführer keine Ich-Störungen eruieren liessen, die Aufmerksamkeit, die Konzentration, die Auffassung und das Gedächtnis nicht erkennbar reduziert erschie nen seien, keine Hinweise auf ein gehemmtes oder beschleunigtes Denken vorgelegen hätten, keine Wahrnehmungsstörungen berichtet worden seien, sein Interesse und Freudempfinden allenfalls leicht, sein Antrieb jedoch nicht redu ziert erschienen sei und seine Grundstimmung indifferent bis leicht gedrückt gewirkt habe) zum Schluss kam, beim Beschwerdeführer liege allenfalls eine leichte depressive Störung vor (Urk. 6/160/73) . Diesbezüglich setzte er sich auch mit den relevanten Vorakten auseinander und wies darauf hin, dass die behan delnden Ärzte der C.___ im Mai 2019 (recte: Juli 2019) zwar eine schwere depressive Episode ohne psychotische Symptome diagnostiziert hätten , nachdem sie im November 2018 eine leichte depressive Stö rung festgestellt hätten , eine Verschlechterung des depressiven Zustandsbildes aus den Arztberichten aber nicht hervorgehe (Urk. 6/160/77). Dies überzeugt. So berichteten die Behandler im November 2018, dass der Beschwerdeführer im Affekt leicht deprimiert sei und über eine leichte Antriebsarmut berichte (Urk. 6/94/14) , und hielten im Juli 2019 fest , seit Beginn der ambulanten Behand lung habe sich am durchschnittlich bestehenden Beschwerdebild nichts Grund legendes geändert (Urk. 6/117/1).</w:t>
      </w:r>
    </w:p>
    <w:p>
      <w:r>
        <w:t>Was die Beurteilung der Arbeitsfähigkeit betrifft, resultierten</w:t>
      </w:r>
    </w:p>
    <w:p>
      <w:r>
        <w:t>in der neuropsy chologischen Untersuchung testdiagnostisch zwar bis zu schwer defizitäre Leis tungen in mehreren Bereichen , jedoch kam die neuropsychologische Gutachterin zum Schluss, dass die gezeigten Leistungen bei eingeschränkter Validität mit überwiegender Wahrscheinlichkeit nicht dem tatsächlichen Leistungsniveau ent sprachen (Urk. 6/160/ 69 , Urk. 6/160/114). Soweit der Beschwerdeführer diesbe züglich einwendet, die neuropsychologische Gutachterin scheine die Auswir kungen einer jahrelang bestehenden, chronifizierten schweren Depression nicht zu kennen (Urk.1 S. 14), ist ihm entgegenzuhalten, dass sich sowohl in einem gut standardisierten Leistungsvalidierungstest Auffälligkeiten zeigten, als auch Inkonsis tenzen innerhalb und zwischen Tests, zwischen klinischer Beobachtung und Testdiagnostik sowie zwischen Angaben in den Akten und Testleistungen vorhanden waren (Urk. 6/160/69 f., Urk. 6/160/116 f.). Vor diesem Hintergrund erweis en sich die Diagnose von nicht-authentisch präsentierten Minderleistungen in mehreren Bereich en bei suboptimalem Leistungsverhalten und Beschwer deübertreibung und -ausweitung und der Schluss der neuropsychologischen Gut achterin, auf die angegebenen Beschwerden könne nicht abgestellt werden ( Urk. 6/160/69, Urk. 6/160/ 116), als nachvollziehbar. Im Übrigen stellt die neuropsy chologische Abklärung lediglich eine Zusatzuntersuchung dar und es bleibt Aufgabe des psychiatrischen Facharztes, die Arbeitsfähigkeit unter Berück sichtigung allfälliger neuropsychologischer Defizite einzuschätzen (Urteil des Bundesgerichts 9C_282/2023 vom 28. August 2023 E. 4.2.8 mit Hinweis). Ent sprechend hielt die neuropsychologische Gutachterin denn auch fest, dass psychiatri scherseits zu beurteilen sei, ob die Leistungsverzerrung bewusst seinsnah (Aggravation) oder bewusstseinsfern (Verdeutlichung) sei (Urk. 6/160/117), wobei der psychiatrische Gutachter zum Schluss kam, bezüglich der aus neuropsychologischer Sicht belegbaren Inkonsistenzen sei teilweise von einer Verdeutlichung , aber auch teilweise von Aggravation auszugehen (Urk. 6/160/74). Entgegen der Ansicht des Beschwerdeführers (Urk. 1 S. 12) stützte sich der psychiatrische Gutachter bei der Beurteilung der Arbeitsfähigkeit indes nicht (alleine) auf die neuropsychologische Testung. Vielmehr führte er unter dem Titel «Auswirkung der Gesundheitsstörungen auf die persönlichen Res sourcen» aus, aus rein psychiatrischer Sicht lägen keine quantitativen Einschrän kungen vor, die eine berufliche Tätigkeit verunmöglichen würden (Urk. 6/160/74), was vor dem Hintergrund, dass Aufmerksamkeit, Konzentration, Auffassung und Gedächtnis während der psychiatrischen Exploration nicht erkenn bar reduziert waren, das Denken kohärent erschien und der Beschwer deführer nicht über Wahrnehmungsstörungen berichtete (Urk. 6/160/67 f.) , über zeugt.</w:t>
      </w:r>
    </w:p>
    <w:p>
      <w:r>
        <w:t>Hinsichtlich der von den behandelnden Ärzten diagnostizierten chronischen Schmerzstörung (ICD-10 F45.41) hielt der psychiatrische Gutachter sodann fest, es fehle an einer hinreichenden Erklärung für die Diagnose, da nachweisbare soma tische Ursachen vorliegen würden (Urk. 6/160/77). Entsprechend erweist sich auch der diesbezügliche Einwand des Beschwerdeführers, die chronische Schmerzstörung sei vom psychiatrischen Gutachter nicht berücksichtigt worden (Urk. 1 S. 11 f), als nicht zutreffend.</w:t>
      </w:r>
    </w:p>
    <w:p>
      <w:r>
        <w:t>Wie bereits erwähnt (vgl. vorstehend E. 4. 2.1 ) , wurden im Übrigen die vom Beschwerdeführer beklagten objektivierbaren somatischen Beschwerden im Rahmen des von den Gutachtern formulier ten Belastungsprofils hinreichend berücksichtigt.</w:t>
      </w:r>
    </w:p>
    <w:p>
      <w:r>
        <w:t>Schliesslich unterliegt die Dauer der psychiatrischen Exploration grundsätzlich der Fachkenntnis und dem Ermessensspielraum des Experten. Nach konstanter Rechtsprechung kommt ihr allein nicht entscheidende Bedeutung zu; massgebend ist vielmehr, ob der Bericht inhaltlich vollständig und im Ergebnis schlüssig ist (Urteil des Bundesgerichts 8C_122/2023 vom 26. Februar 2024 E. 4.4 mit Hin weisen), was vorliegend zu bejahen ist. Abgesehen davon, dass die psychiatrische Anamneserhebung und Untersuchung vorliegend drei Stunden – und nicht wie vom Beschwerdeführer behauptet maximal eineinhalb Stunden (Urk. 1 S. 15) – in Anspruch nahm (Urk. 6/160/58), zielt der diesbezügliche Einwand des Beschwerde führers deshalb ins Leere.</w:t>
      </w:r>
    </w:p>
    <w:p>
      <w:r>
        <w:t>Was der Beschwerdeführer über das Vorgenannte hinaus vortragen lässt, vermag ebenso wenig Zweifel am Gutachten zu begründen, genügt es jedenfalls nicht, bloss die eigene Einschätzung anstelle derjenigen der Gutachter zu setzen.</w:t>
      </w:r>
    </w:p>
    <w:p>
      <w:r>
        <w:rPr>
          <w:b/>
        </w:rPr>
        <w:t>E. 4.3</w:t>
      </w:r>
    </w:p>
    <w:p>
      <w:r>
        <w:t>) bereits abgelaufen war (Urteil des Bundesgerichts 9C_878/2017 vom 19. Februar 2018 E. 5.3) . Es ergibt sich ein Invaliditätsgrad von 100 %, weshalb der Beschwerdeführer ab November 2019 (vgl. Art. 29 Abs. 3 IVG) Anspruch auf eine ganze Rente hatte. 6 .5</w:t>
      </w:r>
    </w:p>
    <w:p>
      <w:r>
        <w:t>Per 1. Juni 2020 ist eine Verbesserung des Gesundheitszustandes eingetreten und der Beschwerdeführer war zu 60 % arbeitsfähig in angepasster Tätigkeit ( vgl.</w:t>
      </w:r>
    </w:p>
    <w:p>
      <w:r>
        <w:t>E. 4. 3 ).</w:t>
      </w:r>
    </w:p>
    <w:p>
      <w:r>
        <w:t>In Anwendung der LSE 2020 ( Tabelle TA1, Ziff. 90-93, Kompetenzniveau 1, Männer, veröffentlicht am 29. Mai 2024) und unter Berücksichtigung der durchschnittlichen betriebsüblichen Arbeitszeit in der Branche «Kunst, Unter haltung und Erholung» (Ziff. 90-93) von 41.7 Stunden pro Woche im Jahr 2020 (BFS, Tabelle T 03.02.03.01.04.01, Betriebsübliche Arbeitszeit nach Wirtschaftsab teilungen) ergibt sich ein Valideneinkommen von gerundet Fr. 56’370.-- (Fr. 4'506. -- : 40 x 41.7 x 12).</w:t>
      </w:r>
    </w:p>
    <w:p>
      <w:r>
        <w:t>Für eine 60%ige Tätigkeit ergibt sich sodann in Anwendung der LSE 2020 (Tabelle TA1, Zeile «Total Privater Sektor», Männer, Kompetenzniveau 1) und unter Berücksichtigung der betriebsüblichen Arbeitszeit von 41.7 Stunden pro Woche im Jahr 2020 ein Invalideneinkommen von gerundet Fr. 39'489.-- (Fr. 5'261. -- : 40 x 41.7 x 12 x 0.6). Stellt man dem Valideneinkommen von Fr. 56’370.-- das Invalideneinkommen von Fr. 39'489.—gegenüber, resultiert eine Erwerbseinbusse von Fr. 16'881.--, was zu einem rentenausschliessenden Invaliditäts grad von 30 % führ t.</w:t>
      </w:r>
    </w:p>
    <w:p>
      <w:r>
        <w:t>Da nach der Rechtsprechung bei rückwirkender Zusprechung einer abgestuften oder befristeten Invalidenrente die für die Rentenrevision geltenden Bestim mungen (Art. 17 ATSG in Verbindung mit Art. 88a Abs. 1 IVV) analog anzuwenden sind (BGE 133 V 263 E. 6.1 mit Hinweisen, Urteil des Bundesgerichts 9C_122/2020 vom 26. Februar 2021 E. 2), ist die Verbesserung der Erwerbs fähigkeit erst zu berücksichtigen, nachdem sie drei Monate gedauert hat (Art. 88a Abs. 1 IVV). Somit bestand ab September 2020 kein Rentenanspruch mehr. 7 .</w:t>
      </w:r>
    </w:p>
    <w:p>
      <w:r>
        <w:t>Zusammenfassend ist festzuhalten, dass der Beschwerdeführer vom 1. November 2019 bis 31. August 2020 Anspruch auf eine ganze Rente hatte . Insoweit ist die Beschwerde teilweise gutzuheissen . Bis am 31. Oktober 2019 bzw. ab dem 1. September 2020 besteht demgegenüber kein Rentenanspruch , was insofern zur Abweisung der Beschwerde führt .</w:t>
      </w:r>
    </w:p>
    <w:p>
      <w:r>
        <w:t>Für die Zeit ab Februar 2021 erweist sich der rechtserhebliche Sachverhalt als ungenügend abgeklärt . Es ist in erster Linie Aufgabe des Versicherungsträgers, von Amtes wegen die notwendigen Abklärungen vorzunehmen, um den rechtser heblichen Sachverhalt vollständig festzustellen (vgl. BGE 149 V 218 E. 5.7). Ent sprechend ist die Sache an die Beschwerdegegnerin zurückzuweisen ist, damit sie zur Abklärung der Arbeitsfähigkeit des Beschwerdeführers ab Februar 2021</w:t>
      </w:r>
    </w:p>
    <w:p>
      <w:r>
        <w:t>eine erneute Begutachtung durchführen lasse und hernach über den Leistungs anspruch ab diesem Zeitpunkt neu entscheide. Die Beschwerde ist in dem Sinne teilweise gutzuheissen.</w:t>
      </w:r>
    </w:p>
    <w:p>
      <w:r>
        <w:rPr>
          <w:b/>
        </w:rPr>
        <w:t>E. 6</w:t>
      </w:r>
    </w:p>
    <w:p>
      <w:r>
        <w:t>ATSG) gewesen sind; und c.</w:t>
      </w:r>
    </w:p>
    <w:p>
      <w:r>
        <w:t>nach Ablauf dieses Jahres zu mindestens 40 % invalid ( Art.</w:t>
      </w:r>
    </w:p>
    <w:p>
      <w:r>
        <w:rPr>
          <w:b/>
        </w:rPr>
        <w:t>E. 8</w:t>
      </w:r>
    </w:p>
    <w:p>
      <w:r>
        <w:t>. Juni 2024 aufgehoben und festgestellt , dass der Beschwerdeführer vom 1. November 2019 bis am 31. August 2020 Anspruch auf eine ganze Rente hat . Betreffend die Zeit ab Februar 2021 wird die Beschwerde in dem Sinne gutgeheissen, dass die Sache an die IV-Stelle zurückgewiesen wird , damit sie nach erfolgter Abklärung im Sinne der Erwägungen über den Leistungs anspruch des Beschwerdeführers neu entscheide. Im Übrigen wird die Beschwerde abge wiesen. 2.</w:t>
      </w:r>
    </w:p>
    <w:p>
      <w:r>
        <w:t>Die Gerichtskosten von Fr. 800 .-- werden dem Beschwerdeführer zu einem Viertel sowie der Beschwerdegegnerin zu drei Vierteln auferlegt.</w:t>
      </w:r>
    </w:p>
    <w:p>
      <w:r>
        <w:t>Rechnung und Einzahlungsschein werden den Kostenpflichtigen nach Eintritt der Rechtskraft zugestellt. 3.</w:t>
      </w:r>
    </w:p>
    <w:p>
      <w:r>
        <w:t>Die Beschwerdegegnerin wird verpflichtet, dem Beschwerdeführer eine reduzierte Parteient schädigung von Fr. 1’600 .-- (inkl . Barauslagen und MWST) zu bezahlen. 4.</w:t>
      </w:r>
    </w:p>
    <w:p>
      <w:r>
        <w:t>Zustellung gegen Empfangsschein an: -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FehrSauter</w:t>
      </w:r>
    </w:p>
    <w:p>
      <w:r>
        <w:rPr>
          <w:b/>
        </w:rPr>
        <w:t>E. 8.1</w:t>
      </w:r>
    </w:p>
    <w:p>
      <w:r>
        <w:t>Da es um die Bewilligung oder Verweigerung von Versicherungsleistungen geht, ist das Verfahren kostenpflichtig. Die Gerichtskosten sind nach dem Verfahrens aufwand und unabhängig vom Streitwert festzulegen (Art. 69 Abs. 1 bis IVG ) . Vor liegend sind die Kosten auf Fr. 800.-- festzusetzen und ausgangsgemäss der Beschwerde gegnerin zu drei Vierteln und dem Beschwerdeführer zu einem Viertel aufzuerlegen.</w:t>
      </w:r>
    </w:p>
    <w:p>
      <w:r>
        <w:rPr>
          <w:b/>
        </w:rPr>
        <w:t>E. 8.2</w:t>
      </w:r>
    </w:p>
    <w:p>
      <w:r>
        <w:t>Nach § 34 Abs. 1 des Gesetz es über das Sozialversicherungsgericht ( GSVGer )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 Als weitere Bemessungs kriterien nennt § 7 der Verordnung über die Gebühren, Kosten und Entschädi gungen vor dem Sozialversicherungsgericht ( GebV</w:t>
      </w:r>
    </w:p>
    <w:p>
      <w:r>
        <w:t>SVGer ) den Zeitaufwand und die Barauslagen.</w:t>
      </w:r>
    </w:p>
    <w:p>
      <w:r>
        <w:t>Nachdem der Beschwerdeführer bloss teilweise obsiegt, ist ihm eine reduzierte P artei entschädigung von Fr. 1'600.-- (inklusive Mehrwertsteuer und Baraus lagen) zuzusprechen. Das Gericht erkennt: 1.</w:t>
      </w:r>
    </w:p>
    <w:p>
      <w:r>
        <w:t>In teilweiser Gutheissung der Beschwerde wird die Verfügung der Sozialver sicherungsanstalt des Kantons Zürich, IV-Stelle, vom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