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IV.2024.00404 vom 23. Dezember 2024</w:t>
      </w:r>
    </w:p>
    <w:p>
      <w:r>
        <w:t>ZH Sozialversicherungsgericht, 2024-12-23, DE</w:t>
      </w:r>
    </w:p>
    <w:p>
      <w:r>
        <w:rPr>
          <w:b/>
        </w:rPr>
        <w:t xml:space="preserve">Quelle: </w:t>
      </w:r>
      <w:r>
        <w:t>https://mcp.opencaselaw.ch/entscheid/zh_sozialversicherungsgericht_IV.2024.00404</w:t>
      </w:r>
    </w:p>
    <w:p>
      <w:r>
        <w:t>FR: ZH_SOZIALVERSICHERUNGSGERICHT IV.2024.00404 du 23 décembre 2024</w:t>
      </w:r>
    </w:p>
    <w:p>
      <w:r>
        <w:t>IT: ZH_SOZIALVERSICHERUNGSGERICHT IV.2024.00404 del 23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im Jahre 1976 geborene X.___ besuchte in der Slowakei eine Fachschule für Wirtschaft und Haushalt ( Urk. 6/46 S. 5) , erwarb in der Folge keine weitere berufliche Ausbildung und war n a ch ihrer Einreise in die Schweiz im Jahr 2011 in der Raumpflege erwerbstätig , ab</w:t>
      </w:r>
    </w:p>
    <w:p>
      <w:r>
        <w:t>1. August 2013 unter anderem in einem 50 % -Pensum bei der Y.___ AG ( Urk. 6/3, 6/44/15-16, Urk. 6/66). Im Zusammenhang mit seit 2013 bestehende n psychischen und somatischen Beschwerden meldete sich die Versicherte am 2. September 2014 erstmals bei der Sozialversicherungsanstalt des Kantons Zürich, IV-Stelle, zum Leistungsbezug an ( Urk. 6/3). Im Rahmen der Abklärungen liess diese die Versicherte psychiatrisch begutachten (Gutachten vom 2 3. November 2015, Urk. 6/28). Im Verlauf der psychiatrischen Behandlung äusserte sich die Versicherte dahingehend, dass sie ihren Lebensunterhalt wieder selber verdienen könne und derzeit keine Versicherungsleistungen beanspruchen möchte ( Urk. 6/38 S. 3). Mit Verfügung vom 1 4. November 2016 wies die IV-Stelle das Leistungsbegehren unter Hinweis auf die Wiedererlangung der vollständigen Arbeitsfähigkeit sowie den Behandlungsabschluss ab ( Urk. 6/41).</w:t>
      </w:r>
    </w:p>
    <w:p>
      <w:r>
        <w:rPr>
          <w:b/>
        </w:rPr>
        <w:t>E. 1.2</w:t>
      </w:r>
    </w:p>
    <w:p>
      <w:r>
        <w:t>Im Jahre 2016 unterzog sich die Versicherte einer distalen Magen bypass operation . Im Zusammenhang mit einer Dünndarmperforation mit Sepsis, einer segmentalen Dünndarmischämie sowie einem Dünndarmtumor wurden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