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IV.2024.00396 vom 28. August 2024</w:t>
      </w:r>
    </w:p>
    <w:p>
      <w:r>
        <w:t>ZH Sozialversicherungsgericht, 2024-08-28, DE</w:t>
      </w:r>
    </w:p>
    <w:p>
      <w:r>
        <w:rPr>
          <w:b/>
        </w:rPr>
        <w:t xml:space="preserve">Quelle: </w:t>
      </w:r>
      <w:r>
        <w:t>https://mcp.opencaselaw.ch/entscheid/zh_sozialversicherungsgericht_IV.2024.00396</w:t>
      </w:r>
    </w:p>
    <w:p>
      <w:r>
        <w:t>FR: ZH_SOZIALVERSICHERUNGSGERICHT IV.2024.00396 du 28 août 2024</w:t>
      </w:r>
    </w:p>
    <w:p>
      <w:r>
        <w:t>IT: ZH_SOZIALVERSICHERUNGSGERICHT IV.2024.00396 del 28 agosto 2024</w:t>
      </w:r>
    </w:p>
    <w:p>
      <w:pPr>
        <w:pStyle w:val="Heading2"/>
      </w:pPr>
      <w:r>
        <w:t>Erwägungen</w:t>
      </w:r>
    </w:p>
    <w:p>
      <w:r>
        <w:rPr>
          <w:b/>
        </w:rPr>
        <w:t>E. 1</w:t>
      </w:r>
    </w:p>
    <w:p>
      <w:r>
        <w:t>September 2017 eine ganze R ente der Invaliden ver sicherung , zuzüglich einer akzessorischen Kinderrente für den am 15. Mai 2005 geborenen Sohn Y.___ (Urk. 6/23+54). Dieser trat per 30. September 2021 eine Lehre als Praktiker Betriebsunterhalt bei der Z.___ AG an. Vorgesehener Lehrabschluss war der 2 9 . September 2023 (Urk. 6/101). Per 1.</w:t>
      </w:r>
    </w:p>
    <w:p>
      <w:r>
        <w:t>August 2022 schloss Y.___ mit der Z.___ AG einen neuen Lehrvertrag, nunmehr als Unterhaltspraktiker EBA. Vorgesehener Lehrabschluss war der 31. Juli 2024 (Urk. 6/122). Nachdem der Lehrbetrieb mit Schreiben vom 23. April 2023 bestätigt hatte, dass Y.___ nach wie vor in der Lehre</w:t>
      </w:r>
    </w:p>
    <w:p>
      <w:r>
        <w:t>sei (Urk.</w:t>
      </w:r>
    </w:p>
    <w:p>
      <w:r>
        <w:t>6/126, vgl. auch Urk. 6/123, Urk. 6/125), zahlte die Sozialversicherungs anstalt des Kantons Zürich, IV-Stelle, die Kinderrente auch nach Vollendung des 18.</w:t>
      </w:r>
    </w:p>
    <w:p>
      <w:r>
        <w:t>Altersjahres von Y.___ weiterhin aus (Urk. 6/127, Urk. 6/129). Mit Schreiben vom 13. November 2023 teilten die Sozialen Dienste der Gemeinde A.___ , welche X.___ finanziell unterstützen, der IV-Stelle mit, dass das Lehrverhältnis von Y.___ per 3. Juli 2023 aufgelöst worden sei (Urk. 6/132). Weitere Abklärungen der IV-Stelle ergaben, dass dies effektiv per 31. Juli 2023 der Fall gewesen war (Urk. 6/133). In der Folge konstatierte sie, dass ab 1. August 2023 kein Anspruch auf eine Kinderrente bestehe, und forderte die ausbezahlten Kinderrenten für die Monate August bis November 2023 zurück (Vorbescheid vom 30. November 2023, Urk. 6/134, Verfügung vom</w:t>
      </w:r>
    </w:p>
    <w:p>
      <w:r>
        <w:rPr>
          <w:b/>
        </w:rPr>
        <w:t>E. 5</w:t>
      </w:r>
    </w:p>
    <w:p>
      <w:r>
        <w:t>Gestützt auf Art. 69 Abs. 1 bis IVG ist das Verfahren für die unterliegende Partei kostenpflichtig. Die Kosten sind unabhängig vom Streitwert nach dem Verfahrensaufwand festzulegen, vorliegend auf Fr. 600.-- anzusetzen und der unterliegenden Beschwerdegegnerin aufzuerlegen. Der Einzelrichter erkennt: 1.</w:t>
      </w:r>
    </w:p>
    <w:p>
      <w:r>
        <w:t>In Gutheissung der Beschwerde wird die angefochtene Verfügung vom 18. April 2024 aufgehoben, und es wird festgestellt, dass die Beschwerdeführerin vom 1. Oktober 2023 bis 31. Juli 2024 Anspruch auf eine Kinderrente der Invalidenversicherung hat, sofern ihr Kind Y.___ in dieser Zeit das Praktikum effektiv absolviert hat.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BachofnerSonderegger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