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IV.2024.00383 vom 18. September 2024</w:t>
      </w:r>
    </w:p>
    <w:p>
      <w:r>
        <w:t>ZH Sozialversicherungsgericht, 2024-09-18, DE</w:t>
      </w:r>
    </w:p>
    <w:p>
      <w:r>
        <w:rPr>
          <w:b/>
        </w:rPr>
        <w:t xml:space="preserve">Quelle: </w:t>
      </w:r>
      <w:r>
        <w:t>https://mcp.opencaselaw.ch/entscheid/zh_sozialversicherungsgericht_IV.2024.00383</w:t>
      </w:r>
    </w:p>
    <w:p>
      <w:r>
        <w:t>FR: ZH_SOZIALVERSICHERUNGSGERICHT IV.2024.00383 du 18 septembre 2024</w:t>
      </w:r>
    </w:p>
    <w:p>
      <w:r>
        <w:t>IT: ZH_SOZIALVERSICHERUNGSGERICHT IV.2024.00383 del 18 settembre 2024</w:t>
      </w:r>
    </w:p>
    <w:p>
      <w:pPr>
        <w:pStyle w:val="Heading2"/>
      </w:pPr>
      <w:r>
        <w:t>Erwägungen</w:t>
      </w:r>
    </w:p>
    <w:p>
      <w:r>
        <w:rPr>
          <w:b/>
        </w:rPr>
        <w:t>E. 1</w:t>
      </w:r>
    </w:p>
    <w:p>
      <w:r>
        <w:t>X.___ , geboren 1999, absolvierte von August 2016 bis August 2018 eine Lehre zum Detailhandelsassistent EBA im Bereich Nahrungs- und Genussmittel bei der Genossenschaft Y.___ , wo er anschliessend bis 30. April</w:t>
      </w:r>
    </w:p>
    <w:p>
      <w:r>
        <w:t>2020 als Charcuterie-Verkäufer festangestellt war – zunächst mit einem Arbeitspensum von 80 % und ab 1. Juni 2019 mit einem solchen von 50 %</w:t>
      </w:r>
    </w:p>
    <w:p>
      <w:r>
        <w:t>(Urk.</w:t>
      </w:r>
    </w:p>
    <w:p>
      <w:r>
        <w:t>12/6/</w:t>
      </w:r>
    </w:p>
    <w:p>
      <w:r>
        <w:rPr>
          <w:b/>
        </w:rPr>
        <w:t>E. 1.1</w:t>
      </w:r>
    </w:p>
    <w:p>
      <w:r>
        <w:t>Gemäss Art. 17 des Bundesgesetz es über die Invalidenversicherung (IVG) hat die versicherte Person Anspruch auf Umschulung auf eine neue Erwerbstätigkeit, wenn die Umschulung infolge Invalidität notwendig ist und dadurch die Erwerbs fähigkeit voraussichtlich erhalten od er verbessert werden kann (Abs. 1). Der Umschulung auf eine neue Erwerbstätigkeit ist die Wiedereinschulung in den bisher igen Beruf gleichgestellt (Abs. 2). Al s Umschulung gelten gemäss Art. 6</w:t>
      </w:r>
    </w:p>
    <w:p>
      <w:r>
        <w:t>Abs. 1 Verordnung über die Invalidenversicherung (IVV) Ausbildungs - massnahmen , die Versicherte nach Abschluss einer erstmaligen beruflichen Ausbil dung oder nach Aufnahme einer Erwerbstätigkeit ohne vorgängige berufliche Ausbildung wegen ihrer Invalidität zur Erhaltung oder Verbesserung der Erwerbs fähigkeit benötigen.</w:t>
      </w:r>
    </w:p>
    <w:p>
      <w:r>
        <w:rPr>
          <w:b/>
        </w:rPr>
        <w:t>E. 1.2</w:t>
      </w:r>
    </w:p>
    <w:p>
      <w:r>
        <w:t>Unter Umschulung ist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 annähernden Gleich wertigkeit » nicht in erster Linie auf das Ausbildungsniveau als solches, sondern auf die nach erfolgter Eingliederung zu erwartende Verdienstmöglichkeit . In der Regel besteht nur ein Anspruch auf die dem jeweiligen Eingliederungszweck angemessenen, notwendigen Massnahmen, nicht aber auf die nach den gege benen Umständen bestmöglichen Vorkehren. Denn das Gesetz will die Eingliede rung lediglich soweit sicherstellen, als diese im Einzelfall notwendig, aber auch genügend ist ( vgl. Urteil des Bundesgerichts 9C_15/2022 1 9. Dezember 2022 E.</w:t>
      </w:r>
    </w:p>
    <w:p>
      <w:r>
        <w:t>3.1 mit Hinweisen).</w:t>
      </w:r>
    </w:p>
    <w:p>
      <w:r>
        <w:rPr>
          <w:b/>
        </w:rPr>
        <w:t>E. 1.3</w:t>
      </w:r>
    </w:p>
    <w:p>
      <w:r>
        <w:t>Der Umschulungsanspruch setzt grundsätzlich eine Mindesterwerbseinbusse von rund 20 % in den für die versicherte Person ohne zusätzliche Ausbildung offen stehenden, noch zumutbaren Erwerbstätigkeiten voraus (BGE 139 V 399 E. 5.3; 130 V 488 E. 4.2, 124 V 108 E. 3). Der Schwellenwert von "rund" 20 % stellt keine absolute Erheblichkeitsgrenze dar, sondern ist als Richtschnur so zu verstehen, dass ein Leistungsanspruch grundsätzlich auch dann bejaht werden kann, wenn der Invaliditätsgrad geringfügig unter 20 % liegt. Dabei nannte</w:t>
      </w:r>
    </w:p>
    <w:p>
      <w:r>
        <w:t>das</w:t>
      </w:r>
    </w:p>
    <w:p>
      <w:r>
        <w:t>Bundesamt für Sozialversicherungen (BSV) in Ziff. 2.1.3 seines IV Rundschreiben s Nr. 435 vom 2 2. Dezember 2023 (mit dem Zwecke der Verein heitlichung der Anspruchs- und Zusprachekriterien für eine Umschulung per 1. Januar 2024) eine untere Schwelle von 15 % .</w:t>
      </w:r>
    </w:p>
    <w:p>
      <w:r>
        <w:t>In solchen Fällen hat anhand des konkreten Einzelfalles eine prognostische Abwägung zu erfolgen. Dabei ist zu beurteilen, ob ein Anspruch auf Umschu lungsmassnahmen mittel- und langfristig insgesamt als verhältnismässig ange sehen werden kann oder nicht. Denn angesichts eines nicht nennenswert unter schrittenen Schwellenwerts darf nicht zum Vornherein davon ausgegangen werden, es liege ein wirtschaftliches Ungleichgewicht zwischen den Eingliede rungskosten und der Eingliederungswirksamkeit vor (vgl. obgenanntes Bundes gerichtsurteil 9C_15/2022 E. 3.2 und 6.1-2). I m Rahmen der vorzunehmenden Prognose ist unter Berücksichtigung der gesamten Umstände der für die künftige Einkommensentwicklung ebenfalls bedeutsame qualitative Stellenwert der beiden zu vergleichenden Berufe mitzuberücksichtigen . Eine annähernde Gleichwertig keit im Sinne einer Momentaufnahme einzig unter dem Aspekt der Verdienst möglichkeit genügt nicht. Vielmehr dürfte die annähernde Gleichwertigkeit der Erwerbsmöglichkeit in der alten und der neuen Tätigkeit auf weite Sicht nur dann zu verwirklichen sein, wenn auch die beiden Ausbildungen einen einigermassen vergleichbaren Wert aufweisen ( vgl. Urteil des Bundesgerichts 9C_994/2009 vom 22. März 2010 E. 4 mit Hinweisen ). 2.</w:t>
      </w:r>
    </w:p>
    <w:p>
      <w:r>
        <w:t>2.1</w:t>
      </w:r>
    </w:p>
    <w:p>
      <w:r>
        <w:t>Die Beschwerdegegnerin erwog, der Beschwerdeführer sei im erlernten Beruf (D etailhandel ) sowie einer leidensangepassten Tätigkeit (wechselbelastend, ohne Heben und Tragen von schweren Gegenständen, ohne längerdauernde Zwangs haltungen) voll arbeitsfähig.</w:t>
      </w:r>
    </w:p>
    <w:p>
      <w:r>
        <w:t>Somit sei er in der Lage, ein</w:t>
      </w:r>
    </w:p>
    <w:p>
      <w:r>
        <w:t>rentenausschliessendes bzw. gleichwertiges wie das zuletzt erzielte Einkommen zu erwirtschaften und auch ein Anspruch auf berufliche Massnahmen bestehe nicht. Die ausgeübte Hilfstätigkeit in der Spenglerei sei nicht ideal und es seien verschiedene Mass nahmen zu em pf ehlen, wie Heimübungsprogramm, Lendengurt/lumbale Orthese und ergonomische Arbeitsweise, mit welchen die Rückbeschwerden verbessert werden könnten ( Urk. 2, 10 und 3/ 2 ). 2.2</w:t>
      </w:r>
    </w:p>
    <w:p>
      <w:r>
        <w:t>Dem hielt der Beschwerdeführer entgegen, seine gesundheitliche Situation und die daraus resultierenden Einschränkungen würden damit nicht hinreichend berücksichtigt und würden die Fortsetzung der bisherigen Tätigkeit unmöglich machen. Eine Umschulung sei nötig, um seine Wiedereingliederung und soziale Integration zu sichern. Er sei derzeit nicht zu 100 % arbeitsfähig ( Urk. 1). 3. 3.1</w:t>
      </w:r>
    </w:p>
    <w:p>
      <w:r>
        <w:t>Den Berichten des behandelnden Rheumatologen, Dr. med. Z.___ , ist zu entnehmen , der Beschwerdeführer stehe seit September 2022 wegen eines</w:t>
      </w:r>
    </w:p>
    <w:p>
      <w:r>
        <w:t>lumbovertebrale n Schmerzsyndrom s</w:t>
      </w:r>
    </w:p>
    <w:p>
      <w:r>
        <w:t>in ärztlicher Behandlung, wobei sich im Februar 2023 bildgebend (dazu Urk. 12/4/2) eine leichte Osteochondrose L5/S1 und leichte Spondyarthrosen L4/L5/S1 ,</w:t>
      </w:r>
    </w:p>
    <w:p>
      <w:r>
        <w:t>differentialdiagnostisch aktivierter Morbus Baastrup L4/5 ,</w:t>
      </w:r>
    </w:p>
    <w:p>
      <w:r>
        <w:t>gezeigt hätten . Zwei p robatorische Infiltrationen hätten zu Besserung en von zwei Monaten bzw. zehn Wochen geführt ( etwa Urk. 12/62) .</w:t>
      </w:r>
    </w:p>
    <w:p>
      <w:r>
        <w:t>In der Spenglerei habe der Beschwerdeführer häufig lange eine vorneübergeneigte Haltung im Stehen einnehmen müsse; seit Auflösung des Arbeitsverhältnisses habe er deutlich geringere Rückenschmerzen. Für wechselbelastend, maximal mittelsch w ere Tätigkeiten sei die Prognose gut , für solche im kaufmännischen oder IT-Bereich bestehe keine Einschränkung.</w:t>
      </w:r>
    </w:p>
    <w:p>
      <w:r>
        <w:t>Damit sei die angestammte Tätig keit nicht bzw. theoretisch noch halbtags zumutbar, eine angepasste Tätigkeit vollzeitig. Die Eingliederungsprognose sei gut. Der Beschwerdeführer sei moti viert , mache weiterhin Chirotherapie, Physiotherapie (Kräftigungsübungen, Haltungskorrektur) sowie Fitness ( etwa Urk. 12/37 und 12/28/1; ergänzend zum Ganzen auch frühere Unterlagen mit entsprechenden Angaben, Urk. 12/2</w:t>
      </w:r>
    </w:p>
    <w:p>
      <w:r>
        <w:rPr>
          <w:b/>
        </w:rPr>
        <w:t>E. 5</w:t>
      </w:r>
    </w:p>
    <w:p>
      <w:r>
        <w:t>) . Ab August 2020 besuchte er die Grundausbildung zum Kaufmann EFZ im Rahmen einer Tageshandelsschule, die er im Juni 2021 abbrach ( Urk. 12/1 und 12/6/7 ). Von August 2021 bis Mai 2023 war er als Hilfsarbeiter in einer Bauspenglerei angestellt ( Urk. 12/6/8 , und 12/21-22 ; zum Ganzen auch: Urk. 12/8/1 und 12/14 ).</w:t>
      </w:r>
    </w:p>
    <w:p>
      <w:r>
        <w:t>Am 1 2. Juni 2023 meldete sich der Versicherte wegen Rückenbeschwerden im unteren Kreuz zum Leistungsbezug bei der Sozialversicherungsanstalt des Kantons Zürich, IV-Stelle, an ( Urk. 12/7-8). Diese klärte in s besondere die erwerb lichen Verhältnisse ab ( Urk. 12/14 und 12/21-22), holte medizinische Unterlagen bei den Behandlern ein ( Urk. 12/27-3 3 und 12/37 )</w:t>
      </w:r>
    </w:p>
    <w:p>
      <w:r>
        <w:t>und nahm eine vom Kranken taggeldversichere r in Auftrag gegebene orthopädische Beurteilung zu den Akten (Urk. 12/42). Nach Rücksprache mit dem Regionalen Ärztlichen Dienst (RAD; Urk. 12/43) kündigte die IV-Stelle dem Versicherten mit Vorbescheid vom 2 0. Februar 2024 an , einen Rentenanspruch wie auch einen Anspruch auf beruf liche Massnahmen zu verneinen ( Urk. 12/47). Dagegen erhob der Versicherte Einwand ( Urk. 12/50). Am 2 6. April 2024 verfügte die IV-Stelle wie angekündigt ( Urk. 2). 2.</w:t>
      </w:r>
    </w:p>
    <w:p>
      <w:r>
        <w:t>Gegen diesen Entscheid erhob der Versicherte mit Eingabe vom 2 5. Mai 2024 «Einsprache » bei der IV-Stelle, eingegangen bei ihr am 2 8. Mai 202 4. Darin beantragte er die Aufhebung des angefochtenen Entscheids und ersuchte um Gewährung einer Umschulung. In prozessualer Hinsicht ersuchte er um Bewilli gung der unentgeltlichen Rechtspflege sowie um Anordnung eines zweiten Schriftenwechsels ( Urk. 1</w:t>
      </w:r>
    </w:p>
    <w:p>
      <w:r>
        <w:t>inkl. Couvert mit Eingangsstempel). Mit Schreiben vom 2 0. Juni 2024 überwies die IV-Stelle dem Sozialversicherungsgericht des Kantons Zürich die Eingabe des Versicherten zur Prüfung, ob es sich um eine Beschwerde gegen die Verfügung vom 2 6. April 2024 handle ( Urk. 3/1) . Dazu legte sie ein Informationsschreiben an den Versicherten vom 1 3. Juni 2024 bei ( Urk. 3/2).</w:t>
      </w:r>
    </w:p>
    <w:p>
      <w:r>
        <w:t>Mit Verfügung vom 2 1. Juni 2024 setzte das Gericht der IV-Stelle eine 30-tägige Frist zur Beschwerdeantwort an. Dem Versicherten setzte es eine ebenso lange Frist zu m Nachweis seiner prozessualen Bedürftigkeit an unter der Androhung, dass bei Säumnis angenommen werde, dass keine solche bestehe ( Urk. 4). Mit Eingabe vom 5. Juli 2024 ( Urk. 6) reichte der Versicherte einen neuen rheumato logischen Bericht vom 1. Juli 2024 ( Urk. 7) sowie das ausgefüllte Formular zur Abklärung der prozessualen Bedürftigkeit ( Urk. 8) samt Belegen ( Urk. 9/1-10) ein. Derweilen schloss die IV-Stelle in der Beschwerdeantwort vom 1 9. August 2024 auf Abweisung der Beschwerde ( Urk. 10). Dazu legte sie den gleichen rheuma - tologischen Bericht vom 1. Juli 2024 ( Urk. 11) auf. Mit Verfügung vom 2 3. August</w:t>
      </w:r>
    </w:p>
    <w:p>
      <w:r>
        <w:t>2024 brachte das Gericht dem Versicherten die Beschwerdeantwort und der IV Stelle Urk.</w:t>
      </w:r>
    </w:p>
    <w:p>
      <w:r>
        <w:rPr>
          <w:b/>
        </w:rPr>
        <w:t>E. 6</w:t>
      </w:r>
    </w:p>
    <w:p>
      <w:r>
        <w:t>und 7 zur Kenntnis ( Urk. 13). Das Gericht zieht in Erwägung: 1.</w:t>
      </w:r>
    </w:p>
    <w:p>
      <w:r>
        <w:rPr>
          <w:b/>
        </w:rPr>
        <w:t>E. 6.1</w:t>
      </w:r>
    </w:p>
    <w:p>
      <w:r>
        <w:t>Gemäss § 16 Abs. 1 GSVGer wird einer Partei, der die nötigen Mittel fehlen und deren Begehren nicht aussichtslos erscheint, in kostenpflichtigen Verfahren auf Gesuch die Bezahlung von Verfahrenskosten und Kostenvorschüssen erlassen.</w:t>
      </w:r>
    </w:p>
    <w:p>
      <w:r>
        <w:t>Der Beschwerdeführer verfügt nach Einstellung der Krankentaggelder ( Urk. 12/23/2) über keine Einkünfte und besitzt auch kein Vermögen, sondern wird von seinen Grosseltern finanziert (vgl. Urk.</w:t>
      </w:r>
    </w:p>
    <w:p>
      <w:r>
        <w:rPr>
          <w:b/>
        </w:rPr>
        <w:t>E. 8</w:t>
      </w:r>
    </w:p>
    <w:p>
      <w:r>
        <w:t>und 9/1-10). Es besteht somit eine prozessuale Bedürftigkeit. Indessen muss sein Begehren nach den vorste henden Erwägungen als offensichtlich aussichtslos gelten. 6. 2</w:t>
      </w:r>
    </w:p>
    <w:p>
      <w:r>
        <w:t>Indessen ist zu berücksichtigen, dass die Beschwerdegegnerin sein Leistungsbe gehren, obschon bereits im Verwaltungsverfahren nur berufliche Massnahmen (vgl. Urk. 12/16/4) – insbesondere eine Lehre im Bereich Informatik (vgl.</w:t>
      </w:r>
    </w:p>
    <w:p>
      <w:r>
        <w:t>Urk. 12/51) – beantragt wurden, im Wesentlichen unter dem Aspekte des Rentenanspruchs abhandelte und dem noch jugendlichen, unvertretenen Beschwerdeführer weder die gesetzlichen Grundlagen, noch die entscheidende Rechtsprechung oder die konkrete Invaliditätsbemessung aufzeigte ( Urk. 2) , während es gerade sein Behandler war, d er ihn auf einen vermeintlichen Umschulungsanspruch aufmerksam machte (vgl. Urk. 12/33/2 f.) . Der Umstände halber ist daher im vorliegenden, an sich kostenpflichtigen Verfahren ( vgl. Art. 69 Abs. 1 bis IVG) ausnahmsweise von einer Kostenauflage an den Beschwerdeführer abzusehen (vgl. § 33 Abs. 2 des Gesetz es über das Sozialversicherungsgericht , GSVGer ). Das Gericht erkennt: 1.</w:t>
      </w:r>
    </w:p>
    <w:p>
      <w:r>
        <w:t>Die Beschwerde wird abgewiesen. 2.</w:t>
      </w:r>
    </w:p>
    <w:p>
      <w:r>
        <w:t>Es werden keine Gerichtskosten erhoben .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