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IV.2024.00297 vom 30. September 2025</w:t>
      </w:r>
    </w:p>
    <w:p>
      <w:r>
        <w:t>ZH Sozialversicherungsgericht, 2025-09-30, DE</w:t>
      </w:r>
    </w:p>
    <w:p>
      <w:r>
        <w:rPr>
          <w:b/>
        </w:rPr>
        <w:t xml:space="preserve">Quelle: </w:t>
      </w:r>
      <w:r>
        <w:t>https://mcp.opencaselaw.ch/entscheid/zh_sozialversicherungsgericht_IV.2024.00297</w:t>
      </w:r>
    </w:p>
    <w:p>
      <w:r>
        <w:t>FR: ZH_SOZIALVERSICHERUNGSGERICHT IV.2024.00297 du 30 septembre 2025</w:t>
      </w:r>
    </w:p>
    <w:p>
      <w:r>
        <w:t>IT: ZH_SOZIALVERSICHERUNGSGERICHT IV.2024.00297 del 30 settembre 2025</w:t>
      </w:r>
    </w:p>
    <w:p>
      <w:pPr>
        <w:pStyle w:val="Heading2"/>
      </w:pPr>
      <w:r>
        <w:t>Erwägungen</w:t>
      </w:r>
    </w:p>
    <w:p>
      <w:r>
        <w:rPr>
          <w:b/>
        </w:rPr>
        <w:t>E. 1</w:t>
      </w:r>
    </w:p>
    <w:p>
      <w:r>
        <w:t>9 / 273 S. 2 ).</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 währten Leistung mittels Vorbescheids mit. Die versicherte Person hat Anspruch auf rechtliches Gehör im Sinne von Art. 42 des Bundesgesetzes über den Allge meinen Teil des Sozialversicherungsrechts (ATSG).</w:t>
      </w:r>
    </w:p>
    <w:p>
      <w:r>
        <w:t>Die Parteien können innerhalb einer Frist von 30 Tagen bei der IV-Stelle münd lich oder schriftlich Einwände zum Vorbescheid vorbringen (Art. 73 ter Abs. 1 und Abs. 2 Satz 1 der Verordnung über die Invalidenversicherung, IVV). Hernach ent scheidet die IV-Stelle mittels Verfügung, wobei sie sich darin mit den für den Beschluss relevanten Einwänden der Parteien auseinanderzusetzen hat (Art. 74 Abs. 1 und 2 IVV).</w:t>
      </w:r>
    </w:p>
    <w:p>
      <w:r>
        <w:t>Die von den kantonalen IV-Stellen erlassenen Verfügungen sind sodann – in Ab weichung von Art. 52 und Art. 58 ATSG – ohne vorgängiges Einspracheverfahren direkt beim Versicherungsgericht am Ort der IV-Stelle anfechtbar (Art. 69 Abs. 1 lit. a IVG).</w:t>
      </w:r>
    </w:p>
    <w:p>
      <w:r>
        <w:rPr>
          <w:b/>
        </w:rPr>
        <w:t>E. 1.2</w:t>
      </w:r>
    </w:p>
    <w:p>
      <w:r>
        <w:t>Nach Art. 42 ATSG haben die Parteien Anspruch auf rechtliches Gehör, wobei sie vor Erlass von Verfügungen, die durch Einsprache anfechtbar sind – was auf Ver fügungen über Leistungen der Invalidenversicherung nach dem Gesagten nicht zutrifft –, nicht angehört werden müssen.</w:t>
      </w:r>
    </w:p>
    <w:p>
      <w:r>
        <w:t>Ein Bestandteil des Anspruchs auf rechtliches Gehör, wie er neben der expliziten gesetzlichen Regelung in Art. 42 ATSG auch in Art. 29 Abs. 2 der Bundesverfas 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 troffene Person in die Lage zu versetzen, eine Verfügung gegebenenfalls sachge recht anfechten zu können (BGE 124 V 180 E. 1a, vgl. auch BGE 134 I 83 E. 4.1 mit Hinweisen). 2. 2.1</w:t>
      </w:r>
    </w:p>
    <w:p>
      <w:r>
        <w:t>Die Durchführung von weiteren Abklärungen im Vorbescheidverfahren führt nicht zwingend dazu, dass ein neuer Vorbescheid zu erlassen ist; dies hängt von den Umständen des Einzelfalles ab, unter anderem von der inhaltlichen Bedeu tung der Sachverhaltsvervollständigung (Urteil des Bundesgerichts 9C_606/2014 vom 9. Dezember 2014 E. 2.1 in fine). Zu prüfen bleibt demnach, wie die nach Erlass des Vorbescheids getätigten medizinischen Abklärungen im vorliegenden Fall zu gewichten sind , nachdem die Beschwerdegegnerin keinen erneuten Vor bescheid erlassen hat . Bei dieser Ausgangslage kann - zumindest vorerst - auf eine Zusammenfassung der im Verfahren gestellten materiellen Anträge verzichtet werden. 2.2</w:t>
      </w:r>
    </w:p>
    <w:p>
      <w:r>
        <w:t>Mit Vorbescheid vom 2. Juni 2021 stellte die Beschwerdegegnerin im Verwaltungsverfahren die Abweisung des Rentenbegehrens in Aussicht (Urk. 19/192). Schon a llein aufgrund der Tatsache, dass nachfolgend eine erneute polydisziplinäre Abklärung durchgeführt wurde, ist von einer inhaltlich wesent lichen Sachverhaltsvervollständigung auszugehen, zumal die Einschätzung der C.___ -Gutachter bezüglich der verbleibenden Arbeits fähigkeit in einer an gepassten Tätigkeit nicht nur bei einem Vergleich mit der im unfallversicherungs rechtlichen Verfahren als massgebend erachteten medizini schen Beurteilung , sondern auch bezüglich der im Verwaltungsverfahren erfolgten Spezial abklärungen ( Urk. 19/305) doch einige Fragen aufwirft . So sind einige Ungereimtheiten, welche die Experten nicht bemerkten, ungeklärt respektive un begründet geblieben . Im Rahmen des Vorbescheidverfahrens muss es einer versicherten Person möglich sein, sich nicht nur zur Sache, sondern auch zum vorgesehenen Entscheid selbst zu äussern ; d ies war vorliegend nicht möglich .</w:t>
      </w:r>
    </w:p>
    <w:p>
      <w:r>
        <w:t>Insgesamt hätte bereits aufgrund des neuen polydisziplinären Gutachtens sowie der daraus sich ergebenden divergierenden Einschätzung der Arbeitsfähigkeit in einer angepassten Tätigkeit</w:t>
      </w:r>
    </w:p>
    <w:p>
      <w:r>
        <w:t>ein neuer Vorbescheid ergehen müssen. Weiter ist anzumerken, dass die Beschwerdegegnerin nach einer internen Meldung vom 6. März 2023 Spezialabklärungen sowie eine Internetrecherche durch führte (vgl.</w:t>
      </w:r>
    </w:p>
    <w:p>
      <w:r>
        <w:t>Urk. 17 S. 3). Auch diese Zusatzabklärungen stellten für die Entscheid findung eine wesentliche Grundlage dar, w as sich beispielsweise an der aus führlichen Beschwerdeantwort vom 2 6. September 2024 ablesen lässt ( Urk. 17); umso</w:t>
      </w:r>
    </w:p>
    <w:p>
      <w:r>
        <w:t>mehr hätte ein neuer Vorbescheid ergehen müssen.</w:t>
      </w:r>
    </w:p>
    <w:p>
      <w:r>
        <w:t>Zusammenfassend ist die angefochtene Verfügung vom 1 6. April 2024 aus formellen Gründen aufzuheben und es ist die Sache zur rechtsgenügenden Durch führung des Vorbescheidverfahrens an die Beschwerdegegnerin zurückzuweisen. 2 . 3</w:t>
      </w:r>
    </w:p>
    <w:p>
      <w:r>
        <w:t>Ohne eine abschliessende Würdigung des C.___ -Gutachtens vorzunehmen, ergeben sich im Zusammenhang mit der Beweiseignung des genannten Gut achtens verschiedene Fragen . So datierte die ursprüngliche Begutachtung vom 2 4. August 2022 ( Urk. 19/265), wobei das Handgutachten infolge formeller Mängel wiederholt werden musste, was am 1 6. Dezember 2022 geschah (Urk. 19/285). Da nun ein neuer Vorbescheid zu ergehen hat, liegen die für die Begutachtung massgebenden Untersuchungen schon rund drei Jahre zurück, so dass fraglich erscheint, ob das C.___ -Gutachten für die Beurteilung des medizinischen Sachverhalts noch eine verlässliche Grundlage darstellt.</w:t>
      </w:r>
    </w:p>
    <w:p>
      <w:r>
        <w:t>Weiter gehen die C.___ -Gutachter allein aus somatischer Sicht von deutlich höheren Einschränkungen in einer angepassten Tätigkeit aus, als dies im Rahmen des Urteils des hiesigen Gerichts vom 1 9. August 2022 betreffend Leistungen der Unfallversicherung angenommen wurde (vgl. Urk. 19/273, Urk. 19/285/13). Eine Auseinandersetzung damit erfolgt im Gutachten nicht. Auch sind die von der Beschwerdegegnerin getätigten Zusatzabklärungen geeignet, die von den C.___ -Gutachtern angenommenen Einschränkungen zumindest in Zweifel zu ziehen (vgl. dazu etwa Urk. 17 f.).</w:t>
      </w:r>
    </w:p>
    <w:p>
      <w:r>
        <w:t>Insgesamt erscheint es aufgrund einer vorläufigen und summarischen Beurteilung des C.___ -Gutachtens fraglich, ob gestützt darauf der strittige medizinische Sachverhalt erstellt werden kann, ober ob sich auch in materiell-rechtlicher Hin sicht weitere Abklärungen aufdrängen. 3 . 3 .1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Ausgang des Ver fahrens sind sie der Beschwerdegegnerin aufzuerlegen. 3 .2</w:t>
      </w:r>
    </w:p>
    <w:p>
      <w:r>
        <w:t>Dem Beschwerdeführer steht eine Parteientschädigung zu, welche unter Berück sichtigung der Kostennote vom 9. September 2024 ( Urk. 16) mit Fr. 4' 500.- inkl. Barauslagen und MWST zu bemessen und der Beschwerdegegnerin aufzuerlegen ist. Dies unter dem Hinweis, dass die Aufwendungen für das Gesuch um unent geltliche Rechtspflege nicht von der Beschwerdegegnerin zu übernehmen sind, die Voraussetzungen klarerweise nicht gegeben waren und der Beschwerdeführer insofern unterl iegt . Das Gericht erkennt: 1.</w:t>
      </w:r>
    </w:p>
    <w:p>
      <w:r>
        <w:t>Die Beschwerde wird in dem Sinne gutgeheissen, dass die angefochtene Verfügung vom 1 6. April 2024 aufgehoben wird und die Sache an die Sozialversicherungsanstalt des Kantons Zürich, IV-Stelle, zurückgewiesen wird, damit diese im Sinne der Erwägungen verfahre und hernac h über den Leistungsanspruch des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 entschädigung von Fr. 4’500 .-- ( inklusive Barauslagen und Mehrwertsteuer ) zu bezahlen. 4.</w:t>
      </w:r>
    </w:p>
    <w:p>
      <w:r>
        <w:t>Zustellung gegen Empfangsschein an: - Rechtsanwältin Dr. Barbara Wyler - Sozialversicherungsanstalt des Kantons Zürich, IV-Stelle , unter Beilage einer Kopie von Urk. 16 -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1.3</w:t>
      </w:r>
    </w:p>
    <w:p>
      <w:r>
        <w:t>Im September 2015 meldete sich der Versicherte erneut bei der IV-Stelle zum Leistungsbezug an ( Urk. 19/115). Am 4. April 2016 konnte er eine Stelle als Haus wart antreten ( Urk. 19/166); dementsprechend schloss die IV-Stelle m it Schreiben vom 2 9. Juni 2016 die Eingliederungsmassnahmen ab und führte aus, dass der Versicherte bei einer 100%igen Arbeitsfähigkeit rentenausschliessend ein gegliedert sei (Urk. 19/140). Mit Verfügung vom 6. September 2018 hob die Suva die Rente unter Berücksichtigung des tatsächlich erzielten Einkommens per 1. Januar 2017 auf. Die dagegen erhobene Einsprache vom 4. Oktober 2018 zog die Vertreterin des Versicherten mit Schreiben vom 1 7. Dezember 2018 zurück ( Urk.</w:t>
      </w:r>
    </w:p>
    <w:p>
      <w:r>
        <w:rPr>
          <w:b/>
        </w:rPr>
        <w:t>E. 1.5</w:t>
      </w:r>
    </w:p>
    <w:p>
      <w:r>
        <w:t>Am 1. März 2022 gab die IV-Stelle ein polydisziplinäres Gutachten in Auftrag ( Urk. 19/265 S. 1). Mit Urteil vom 1 9. August 2022 hiess das hiesige Gericht die gegen den Einspracheentscheid der Suva vom 1 0. November 2021 erhobene Beschwerde teilweise gut und stellte fest, dass der Versicherte ab 1. März 2021 Anspruch auf eine Invalidenrente bei einer Erwerbsunfähigkeit von 20 % habe ( Urk. 19/273 S. 22). Das von der IV-Stelle in Auftrag gegebene C.___ -Gut achten erging am 2 4. August 2022 ( Urk. 19/265). Infolge formeller Mängel bei der Begutachtung musste das handchirurgische Teilgutachten wiederholt werden ( Urk. 19/285), die Beantwortung von Zusatzfragen erfolgte mit Schreiben vom 2 3. Januar 2023 ( Urk. 19/294), die aktualisierte Gesamtbeurteilung datiert vom 1. März 2023 ( Urk. 19/296). Nach einer internen Meldung vom 6. März 2023 führte die IV-Stelle weiter Spezialabklärungen sowie eine Internetrecherche durch (vgl. Urk. 17 S. 3). Mit Verfügungen vom 1 6. April 2024 wies die IV-Stelle einen Anspruch betreffend Hilflosenentschädigung respektive betreffend Invalidenrente ab ( Urk. 19/336 f.). Mit Verfügung vom 1 7. April 2024 schloss die Suva den Rück fall ab und stellte die Taggeldleistungen bei Annahme einer 100%igen Arbeits fähigkeit in einer angepassten Tätigkeit per 1. März 2024 ein (Urk. 19/353).</w:t>
      </w:r>
    </w:p>
    <w:p>
      <w:r>
        <w:t>2.</w:t>
      </w:r>
    </w:p>
    <w:p>
      <w:r>
        <w:t>Gegen die Verfügung der IV-Stelle vom 1 6. April 2024 betreffend Invalidenrente erhob die Vertreterin des Versicherten am 2 1. Mai 2024 Beschwerd e und beantragte, es sei dem Beschwerdeführer ab November 2020 eine ganze Invalidenrente auszurichten, eventualiter seien weitere Abklärungen zu tätigen und der Beschwerdeführer sei nochmals zu begutachten. Weiter seien die Akten der Suva beizuziehen und es sei dem Beschwerdeführer die unentgeltliche Prozessführung und Verbeiständung in der Person der Unterzeichneten zu gewähren; unter Kosten- und Entschädigungsfolgen zu Lasten der Beschwerde gegnerin ( Urk. 1 S. 2).</w:t>
      </w:r>
    </w:p>
    <w:p>
      <w:r>
        <w:t>Mit Schreiben vom 2 2. Mai 2024 reichte die Vertreterin des Beschwerdeführers einen ergänzenden Arztbericht zu den Akten ( Urk. 5 f.). Innert mehrfach erstreckter Frist reichte die Beschwerdegegnerin am 2 6. September 2024 ihre um fassende Beschwerdeantwort ein und beantragte die Abweisung der Beschwerde ( Urk. 17).</w:t>
      </w:r>
    </w:p>
    <w:p>
      <w:r>
        <w:t>Mit Verfügung vom 4. Oktober 2024 wies das hiesige Gericht das Gesuch um Gewährung der unentgeltlichen Prozessführung und unentgeltlichen Rechts vertretung ab und ordnete einen zweiten Schriftenwechsel an ( Urk. 21). Innert erstreckter Frist hielt die Vertreterin des Beschwerdeführers an den beschwerde weise gestellten Anträgen fest ( Urk. 25); die Beschwerdegegnerin hielt innert mehrfach erstreckter Frist mit Duplik vom 2 1. Februar 2025 ebenfalls an ihren Anträgen fest ( Urk. 31), was dem Beschwerdeführer mit Verfügung vom 2 4. Februar 2025 zur Kenntnis gebracht wurde ( Urk. 32). Das Gericht zieht in Erwägung: 1.</w:t>
      </w:r>
    </w:p>
    <w:p>
      <w:r>
        <w:rPr>
          <w:b/>
        </w:rPr>
        <w:t>E. 4</w:t>
      </w:r>
    </w:p>
    <w:p>
      <w:r>
        <w:t>Am 1 9. Mai 2019 verletzte sich der Versicherte erneut am Mittelfinger der rechten Hand (Hyperextension). Am 2 0. Mai 2019 nahm die Suva die Taggeldzahlungen rückfallweise wieder auf , eine Revision der Beugesehnenrekonstruktion am Mittelfinger der rechten Hand erfolgte a m 4. September 2019 , eine weitere operative Sanierung fand am 8. Januar 2020 statt ( Urk. 1 9/273 S. 2 ). Am 2 7. April</w:t>
      </w:r>
    </w:p>
    <w:p>
      <w:r>
        <w:t>2020 meldete sich der Versicherte im Zusammenhang mit dem Rückfall erneut bei der IV-Stelle zum Leistungsbezug an ( Urk. 19/148). In der Zeit vom 8. bis 3 1. Juli 2020 weilte er zur Rehabilitation an der Rehaklinik B.___ (Urk.</w:t>
      </w:r>
    </w:p>
    <w:p>
      <w:r>
        <w:t>1</w:t>
      </w:r>
    </w:p>
    <w:p>
      <w:r>
        <w:rPr>
          <w:b/>
        </w:rPr>
        <w:t>E. 9</w:t>
      </w:r>
    </w:p>
    <w:p>
      <w:r>
        <w:t>/ 211 ) .</w:t>
      </w:r>
    </w:p>
    <w:p>
      <w:r>
        <w:t>Die Ablehnung des Begehrens betreffend Eingliederungs massnahmen erfolgte mit Verfügung 7. September 2021 ( Urk. 19/216) . Mit Einspracheentscheid vom 1 0. November 2021 bestätigte die Suva die ergangene Verfügung vom 1 8. März 2021 ( Urk. 19/273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