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IV.2024.00282 vom 10. Februar 2025</w:t>
      </w:r>
    </w:p>
    <w:p>
      <w:r>
        <w:t>ZH Sozialversicherungsgericht, 2025-02-10, DE</w:t>
      </w:r>
    </w:p>
    <w:p>
      <w:r>
        <w:rPr>
          <w:b/>
        </w:rPr>
        <w:t xml:space="preserve">Quelle: </w:t>
      </w:r>
      <w:r>
        <w:t>https://mcp.opencaselaw.ch/entscheid/zh_sozialversicherungsgericht_IV.2024.00282</w:t>
      </w:r>
    </w:p>
    <w:p>
      <w:r>
        <w:t>FR: ZH_SOZIALVERSICHERUNGSGERICHT IV.2024.00282 du 10 février 2025</w:t>
      </w:r>
    </w:p>
    <w:p>
      <w:r>
        <w:t>IT: ZH_SOZIALVERSICHERUNGSGERICHT IV.2024.00282 del 10 febbraio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1982, hat während vier Jahren die Grundschule in Kosovo und nach seiner Einreise in die Schweiz im Jahr 19 96</w:t>
      </w:r>
    </w:p>
    <w:p>
      <w:r>
        <w:t>für zwei Jahre eine Sonder schule besucht, wobei er während des zweiten Sonderschuljahres an einem Tag pro Woche als Maler-Praktikant tätig war ( Urk. 8/18/2). Am 2. Juni 1999 meldete ihn sein Vater bei der Invalidenversicherung zum Leistungsbezug an ( Urk. 8/4) , wobei die Sozialversicherungsanstalt des Kantons Zürich, IV-Stelle, zunächst medizinische Massnahmen im Zusammenhang mit einem (angeborenen) Hüft leiden</w:t>
      </w:r>
    </w:p>
    <w:p>
      <w:r>
        <w:t>prüfte und nach gerichtlicher Beurteilung (Urteil des hiesigen Sozial versicherungsgerichts IV.2000. 0 0547 vom 7. Dezember 2001, Urk.</w:t>
      </w:r>
    </w:p>
    <w:p>
      <w:r>
        <w:t>8/35) bis zur Vollendung des 2 0. Altersjahres ausgehend vom Geburtsgebrechen Nr. 183 ( Dysplasia coxae congenita sowie Luxatio coxae congenita ; gemäss dem damals in Kraft gewesenen Anhang zur Verordnung über Geburtsgebrechen [ GgV ] ) , auch zusprach ( Urk. 8/38). Nach beruflichen Abklärungen , in welchen eine IV-Anlehre in geschütztem Rahmen in Betracht gezogen worden war ( Urk. 8/17/5), wies die IV-Stelle das Gesuch um berufliche Massnahmen mit Verfügung vom 1 4. Juni 1999 ausgehend von einer gesundheitsbedingt fehlenden ganztägigen Präsenz</w:t>
      </w:r>
    </w:p>
    <w:p>
      <w:r>
        <w:t>ab ( Urk. 8/45). Mit Verfügung vom 1 0. Mai 2002 sprach sie dem Versicherten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