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IV.2024.00188 vom 20. Februar 2025</w:t>
      </w:r>
    </w:p>
    <w:p>
      <w:r>
        <w:t>ZH Sozialversicherungsgericht, 2025-02-20, DE</w:t>
      </w:r>
    </w:p>
    <w:p>
      <w:r>
        <w:rPr>
          <w:b/>
        </w:rPr>
        <w:t xml:space="preserve">Quelle: </w:t>
      </w:r>
      <w:r>
        <w:t>https://mcp.opencaselaw.ch/entscheid/zh_sozialversicherungsgericht_IV.2024.00188</w:t>
      </w:r>
    </w:p>
    <w:p>
      <w:r>
        <w:t>FR: ZH_SOZIALVERSICHERUNGSGERICHT IV.2024.00188 du 20 février 2025</w:t>
      </w:r>
    </w:p>
    <w:p>
      <w:r>
        <w:t>IT: ZH_SOZIALVERSICHERUNGSGERICHT IV.2024.00188 del 20 febbraio 2025</w:t>
      </w:r>
    </w:p>
    <w:p>
      <w:pPr>
        <w:pStyle w:val="Heading2"/>
      </w:pPr>
      <w:r>
        <w:t>Erwägungen</w:t>
      </w:r>
    </w:p>
    <w:p>
      <w:r>
        <w:rPr>
          <w:b/>
        </w:rPr>
        <w:t>E. 1</w:t>
      </w:r>
    </w:p>
    <w:p>
      <w:r>
        <w:t>3. September 2022 ein Standortgespräch mit der Versicherten ( Urk. 9/5). Sie zog ein en IK-Auszug bei und holte medizinische Berichte der behandelnden Ärzte ein. M it Vorbescheid vom 1 4. Dezember 2023 stellte sie die Abweisung des Leistungsbegehrens in Aus sicht ( Urk. 9/26).</w:t>
      </w:r>
    </w:p>
    <w:p>
      <w:r>
        <w:t>Nachdem sich die Versicherte innerhalb der Einwandfrist nicht hatte vernehmen lassen, verneinte die IV-Stelle m it Verfügung vom 8. Februar 2024 wie angekündigt einen Leistungsanspruch ( Urk. 9/27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2022 anhängig gemachten Anmeldung bei der Invaliden versicherung könnten allfällige Leistungen frühestens ab Januar 2023 ausge richtet werden (vgl. Art. 29 Abs. 1 IVG). In dieser übergangsrechtlichen Konstel lation ist die seit 1. Januar 2022 geltende Rechtslage massgebend, die im Folgenden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Versicherte mit vollendetem 20. Altersjahr, die vor der Beeinträch tigung ihrer körperlichen, geistigen oder psychischen Gesundheit nicht erwerbs 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 heitlichen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Betätigungs 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rPr>
          <w:b/>
        </w:rPr>
        <w:t>E. 2</w:t>
      </w:r>
    </w:p>
    <w:p>
      <w:r>
        <w:t>S. 1).</w:t>
      </w:r>
    </w:p>
    <w:p>
      <w:r>
        <w:rPr>
          <w:b/>
        </w:rPr>
        <w:t>E. 2.1</w:t>
      </w:r>
    </w:p>
    <w:p>
      <w:r>
        <w:t>Die Beschwerdegegnerin legte in der angefochtenen Verfügung dar, aus den ein geholten medizinischen Unterlagen gehe hervor, dass die Beschwerdeführerin seit dem 1. Dezember 2020 gesundheitlich eingeschränkt sei. Gemäss dem Bericht des Neurologen habe sich ihr Gesundheitszustand verbessert, der Psychiater teile eine gute Prognose mit. Aus rheumatologischer Sicht sei ihr eine angepasste Tätigkeit in einem 100%-Pensum zumutbar. Ein Anspruch auf eine Invalidenrente bestehe nur, wenn eine Einschränkung vorliege, die sich langandauernd und dauerhaft auf die Arbeitsfähigkeit auswirke, weshalb die Beschwerdeführerin keinen Anspruch auf eine Invalidenrente habe ( Urk.</w:t>
      </w:r>
    </w:p>
    <w:p>
      <w:r>
        <w:rPr>
          <w:b/>
        </w:rPr>
        <w:t>E. 2.2</w:t>
      </w:r>
    </w:p>
    <w:p>
      <w:r>
        <w:t>Die Beschwerdeführerin brachte in der Beschwerdeschrift vor, sie sei 47-jährig, Hausfrau und Mutter von fünf Kindern. Nachdem sie im Jahr 2023 auf Stunden basis zu 20 % als Putzfrau gearbeitet habe, habe sie diese Tätigkeit aufgrund der unerträglichen Schmerzsituation wieder aufgeben müssen ( Urk. 1 S. 3). D ie medizinischen Berichte würden belegen, dass ihre verschiedenen Schmerzen, ins besondere die massiven Kopfschmerzen sowie die Depression klaren Diagnosen zugeordnet werden könnten. Hinsichtlich der Arbeitsfähigkeit beziehungsweise -unfähigkeit sei zu konstatieren, dass zwar der rheumatologische Facharzt mit Datum vom 2 5. Januar 2023 eine volle Arbeitsfähigkeit in einer leichten Tätigkeit attestiert habe. Dies ändere aber nichts daran, dass ihr aufgrund ihrer äusserst massiven Kopfschmerzen, welche auf das zervikobrachiale Syndrom beziehungs weise das zervikozephale und zervikovertebrale Schmerzsyndrom zurückzufüh ren seien, eine vollständige Arbeitsunfähigkeit attestiert werde. Die massiven Kopfschmerzen seien i n der Schmerzempfindung absolut dominant, so dass ein e allfällig attestier t e Arbeitsfähigkeit in rheumatologischer Hinsicht zu vernach lässigen sei. Hinzu</w:t>
      </w:r>
    </w:p>
    <w:p>
      <w:r>
        <w:t>komme, dass auch der behandelnde Rheumatologe auf eine vollständige Arbeitsunfähigkeit aus psychischen Gründen hinweise ( Urk. 1 S. 5 f.).</w:t>
      </w:r>
    </w:p>
    <w:p>
      <w:r>
        <w:t>Damit korreliere, dass sie zunehmend suizidal sei. In diesem Zusammenhang seien rezidivierende depressive Episoden seit der Jugend diagnostiziert worden. Hin sichtlich der Arbeitsfähigkeit habe die Psychiaterin zwar festgehalten, dass die Prognose grundsätzlich gut sei, habe sich jedoch nicht zur a ktuellen Arbeits unfähigkeit geäussert ( Urk. 1 S. 6).</w:t>
      </w:r>
    </w:p>
    <w:p>
      <w:r>
        <w:t>Ferner würden sie auch die aktuellen Arztberichte aus dem Jahr 2024 als schmerzgepla g te und vollständig arbeitsunfähige Person zeigen. Insbesondere werde neu die Diagnose einer Hemicrania</w:t>
      </w:r>
    </w:p>
    <w:p>
      <w:r>
        <w:t>continua (Dauerkopfschmerz) links mit den entsprechenden massiv beeinträchtigenden Begleiterscheinungen gestellt und die Schwierigkeit der Evaluierung der richtigen Medikation werde offensichtlich. Dementsprechend werde festgehalten, dass sich ihre Kopfschmerzen nur unzu reichend kontrolliert präsentieren würden ( Urk. 1 S. 6).</w:t>
      </w:r>
    </w:p>
    <w:p>
      <w:r>
        <w:t>Insgesamt sei offensichtlich, dass sie bereits aufgrund ihrer invalidisierenden Migräne vollständig arbeitsunfähig sei, weshalb ihr bereits aus diesem Grund eine ganze Invalidenrente zuzusprechen sei. Sollte das Gericht dieser Auffassung nicht folgen, sei sie polydisziplinär zu begutachten. An ihrer vollständigen Arbeitsun fähigkeit ändere sodann nichts, dass sie im Haushalt tätig sei ,</w:t>
      </w:r>
    </w:p>
    <w:p>
      <w:r>
        <w:t>da s ie aufgrund ihrer invalidisierenden körperlichen Verfassung nicht in der Lage sei, den Haus halt zu machen ( Urk. 1 S. 7).</w:t>
      </w:r>
    </w:p>
    <w:p>
      <w:r>
        <w:rPr>
          <w:b/>
        </w:rPr>
        <w:t>E. 3</w:t>
      </w:r>
    </w:p>
    <w:p>
      <w:r>
        <w:t>.</w:t>
      </w:r>
    </w:p>
    <w:p>
      <w:r>
        <w:rPr>
          <w:b/>
        </w:rPr>
        <w:t>E. 7</w:t>
      </w:r>
    </w:p>
    <w:p>
      <w:r>
        <w:t>der Verordnung über die Gebühren, Kosten und Entschädigungen vor dem Sozialversicherungsgericht [ GebV</w:t>
      </w:r>
    </w:p>
    <w:p>
      <w:r>
        <w:t>SVGer ] ).</w:t>
      </w:r>
    </w:p>
    <w:p>
      <w:r>
        <w:t>Unter Berücksichtigung dieser Kriterien und nach Einsicht in die von Rechts anwältin Dina Raewel eingereichte Honorarnote vom 2 4. Juli 2024 ( Urk. 17) ist die Parteientschädigung auf Fr. 2'302.60 festzusetzen. Das Gericht erkennt: 1.</w:t>
      </w:r>
    </w:p>
    <w:p>
      <w:r>
        <w:t>Die Beschwerde wird in dem Sinne gutgeheissen, dass die angefochtene Verfügung der Sozialversicherungsanstalt des Kantons Zürich, IV-Stelle, vom 8. Februar 2024 aufge hoben und die Sache an diese zurückgewiesen wird, damit sie nach ergänzenden Abklärungen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2'302.60 (inkl. Barauslagen und MWST) zu bezahlen. 4.</w:t>
      </w:r>
    </w:p>
    <w:p>
      <w:r>
        <w:t>Zustellung gegen Empfangsschein an: - Rechtsanwältin Dina Raewel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