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IV.2024.00176 vom 5. Februar 2025</w:t>
      </w:r>
    </w:p>
    <w:p>
      <w:r>
        <w:t>ZH Sozialversicherungsgericht, 2025-02-05, DE</w:t>
      </w:r>
    </w:p>
    <w:p>
      <w:r>
        <w:rPr>
          <w:b/>
        </w:rPr>
        <w:t xml:space="preserve">Quelle: </w:t>
      </w:r>
      <w:r>
        <w:t>https://mcp.opencaselaw.ch/entscheid/zh_sozialversicherungsgericht_IV.2024.00176</w:t>
      </w:r>
    </w:p>
    <w:p>
      <w:r>
        <w:t>FR: ZH_SOZIALVERSICHERUNGSGERICHT IV.2024.00176 du 5 février 2025</w:t>
      </w:r>
    </w:p>
    <w:p>
      <w:r>
        <w:t>IT: ZH_SOZIALVERSICHERUNGSGERICHT IV.2024.00176 del 5 febbraio 2025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 1. 4</w:t>
      </w:r>
    </w:p>
    <w:p>
      <w:r>
        <w:t>Der Anspruch auf Umschulung setzt voraus,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um einen blossen Richtwert handelt (BGE 130 V 488 E. 4.2, 124 V 108 E. 2a und b, je mit Hinweisen; vgl. auch Urteil des Bundesgerichts 8C_266/2021 vom 13. Juli 2021 E. 4.2.3 mit Hinweisen). 1.</w:t>
      </w:r>
    </w:p>
    <w:p>
      <w:r>
        <w:rPr>
          <w:b/>
        </w:rPr>
        <w:t>E. 1.4</w:t>
      </w:r>
    </w:p>
    <w:p>
      <w:r>
        <w:t>Am 2 8. November 2022 ersuchte der Versicherte abermals um die Ausrichtung von Leistungen, wobei er auf einen Bandscheibenvorfall hinwies ( Urk. 7/72). Das Arbeitsverhältnis mit der Y.___ AG endete am 3 1. Dezember 2022 infolge Kündigung durch die Arbeitgeberin ( Urk. 7/72/8, 7/98). Nach Ein gang medizinischer Unterlagen ( Urk. 7/78 f., 7/ 81) nahm die IV-Stelle Rück sprache mit dem regionalen ärztlichen Dienst (RAD, Stellungnahme vom 5. Mai 2023, Urk.</w:t>
      </w:r>
    </w:p>
    <w:p>
      <w:r>
        <w:t>7/90/3-5). Mit Vorbescheid vom 5. Juli 2023 stellte sie dem Ver sicher ten die Abweisung des Rentenbegehrens in Aussicht ( Urk. 7/91), wogegen dieser am 24.</w:t>
      </w:r>
    </w:p>
    <w:p>
      <w:r>
        <w:t>Juli 2023 Einwand erhob und wie bereits zuvor (vgl. Urk. 7/80) um die Zusprechung einer Umschulung ersuchte ( Urk. 7/98). Mit Ver fügung vom</w:t>
      </w:r>
    </w:p>
    <w:p>
      <w:r>
        <w:rPr>
          <w:b/>
        </w:rPr>
        <w:t>E. 5</w:t>
      </w:r>
    </w:p>
    <w:p>
      <w:r>
        <w:t>Nach dem Gesagten ist die angefochtene Verfügung vom 5. Oktober 2023 nicht zu beanstanden, was zur Abweisung der dagegen erhobenen Beschwerde führt.</w:t>
      </w:r>
    </w:p>
    <w:p>
      <w:r>
        <w:rPr>
          <w:b/>
        </w:rPr>
        <w:t>E. 6</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500.-- anzusetzen und ausgangsgemäss dem unterliegenden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