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IV.2024.00137 vom 3. März 2025</w:t>
      </w:r>
    </w:p>
    <w:p>
      <w:r>
        <w:t>ZH Sozialversicherungsgericht, 2025-03-03, DE</w:t>
      </w:r>
    </w:p>
    <w:p>
      <w:r>
        <w:rPr>
          <w:b/>
        </w:rPr>
        <w:t xml:space="preserve">Quelle: </w:t>
      </w:r>
      <w:r>
        <w:t>https://mcp.opencaselaw.ch/entscheid/zh_sozialversicherungsgericht_IV.2024.00137</w:t>
      </w:r>
    </w:p>
    <w:p>
      <w:r>
        <w:t>FR: ZH_SOZIALVERSICHERUNGSGERICHT IV.2024.00137 du 3 mars 2025</w:t>
      </w:r>
    </w:p>
    <w:p>
      <w:r>
        <w:t>IT: ZH_SOZIALVERSICHERUNGSGERICHT IV.2024.00137 del 3 marzo 2025</w:t>
      </w:r>
    </w:p>
    <w:p>
      <w:pPr>
        <w:pStyle w:val="Heading2"/>
      </w:pPr>
      <w:r>
        <w:t>Erwägungen</w:t>
      </w:r>
    </w:p>
    <w:p>
      <w:r>
        <w:rPr>
          <w:b/>
        </w:rPr>
        <w:t>E. 10</w:t>
      </w:r>
    </w:p>
    <w:p>
      <w:r>
        <w:t>/83/ 31 ) . Diese Beurteilung erscheint umso begründeter, als sich aus klinisch psychiatrischer Beurteilungsperspektive eine nicht-authentische Beschwerdeschilderung feststellen lies s , welche durch höchst</w:t>
      </w:r>
    </w:p>
    <w:p>
      <w:r>
        <w:t>auffällige Resultate in einem ergänzend durchgeführten standardisierten Verfahren zur Beschwerdevalidierung</w:t>
      </w:r>
    </w:p>
    <w:p>
      <w:r>
        <w:t>mithilfe des SRSI-Fragebogen (Self-Report Symptom Inventory ) zusätzlich bestätigt wurde.</w:t>
      </w:r>
    </w:p>
    <w:p>
      <w:r>
        <w:t>Solche Testverfahren zur Beschwerde- beziehungsweise Symptomvalidierung sind</w:t>
      </w:r>
    </w:p>
    <w:p>
      <w:r>
        <w:t>für versicherungspsychiatrische Gutachten nach höchstrichterlicher Rechtsprechung insbesondere dann stützend , wenn das Symptomvalidierungsverfahren , wie vorliegend , zwecks Gesamtwertung erst am Ende der Exploration stattfand</w:t>
      </w:r>
    </w:p>
    <w:p>
      <w:r>
        <w:t>(Urteil 8C_549/2023 des Bundesgerichts vom 2 5. Juni 2024 E</w:t>
      </w:r>
    </w:p>
    <w:p>
      <w:r>
        <w:t>5.2.4) , d.h. n achdem die Angaben der Beschwerdeführerin bereits aus klinischer Sicht erheblich von einem ausgeprägt subjektiv determinierten Bewertungshorizont im Ausmass eines bewussten Verdeutlichungsbestrebens überlagert wirkten und deshalb wenig plausibel erschienen (Urk.</w:t>
      </w:r>
    </w:p>
    <w:p>
      <w:r>
        <w:t>10/83/28-29 ) .</w:t>
      </w:r>
    </w:p>
    <w:p>
      <w:r>
        <w:t>Des Weiteren liess sich die nicht-authentische Beschwerdeschilderung</w:t>
      </w:r>
    </w:p>
    <w:p>
      <w:r>
        <w:t>ebenfalls in der orthopädischen als auch in der neurologischen Begutachtung feststellen ( Urk. 10/83/45, und Urk. 10/83/58, siehe auch E. 4 . 4 ). Überdies steht die psychiatrische Einschätzung , entgegen der Ansicht der Beschwerdeführerin ( Urk. 1</w:t>
      </w:r>
    </w:p>
    <w:p>
      <w:r>
        <w:t>Ziff.</w:t>
      </w:r>
    </w:p>
    <w:p>
      <w:r>
        <w:rPr>
          <w:b/>
        </w:rPr>
        <w:t>E. 11</w:t>
      </w:r>
    </w:p>
    <w:p>
      <w:r>
        <w:t>-</w:t>
      </w:r>
    </w:p>
    <w:p>
      <w:r>
        <w:rPr>
          <w:b/>
        </w:rPr>
        <w:t>E. 13</w:t>
      </w:r>
    </w:p>
    <w:p>
      <w:r>
        <w:t>) ,</w:t>
      </w:r>
    </w:p>
    <w:p>
      <w:r>
        <w:t>auch im Einklang mit der zum Zeitpunkt der Begutachtung vorliegenden</w:t>
      </w:r>
    </w:p>
    <w:p>
      <w:r>
        <w:t>Aktenlage . Darin ist seit Dezember 2019 eine weitgehende Abstinenz</w:t>
      </w:r>
    </w:p>
    <w:p>
      <w:r>
        <w:t>und lediglich ein einmaliger Konsum von Alkohol im Mai 2021 dokumentiert ( Urk. 10 /9/7, Urk. 10 /13/7, Urk. 10 /42/3-5, Urk. 10 /47/1 Urk. 10 /55/8, Urk. 10 /55/13, Urk. 10 /61/3-5). Im Zeitraum</w:t>
      </w:r>
    </w:p>
    <w:p>
      <w:r>
        <w:t>der gutachterlichen Untersuchungen ( zwischen dem 2 3. November und 1 5. Dezember 2022 )</w:t>
      </w:r>
    </w:p>
    <w:p>
      <w:r>
        <w:t>war die</w:t>
      </w:r>
    </w:p>
    <w:p>
      <w:r>
        <w:t>Beschwerdeführerin zwar nicht mehr abstinent , jedoch hatte sie den Alkoholkonsum</w:t>
      </w:r>
    </w:p>
    <w:p>
      <w:r>
        <w:t>gemäss ihrer Schilderungen weitgehend unter Kontrolle ( Urk. 10 /83/24-25 ,</w:t>
      </w:r>
    </w:p>
    <w:p>
      <w:r>
        <w:t>Urk. 10 / 83/40</w:t>
      </w:r>
    </w:p>
    <w:p>
      <w:r>
        <w:t>und Urk. 10 /83/54 ), was aufgrund ihres guten Allgemein -, Ernährungs - und Pflegezustands ( Urk. 10 /83/26 und Urk. 10 / 83/42 ) , als plausibel erscheint. Zudem lagen gemäss der Laboranalyse vom 15.</w:t>
      </w:r>
    </w:p>
    <w:p>
      <w:r>
        <w:t>Dezember 2022 zwar erhöhte L eberenzyme vor , jedoch waren l aborchemisch die Syntheseleistung und die Entgiftungsleistung der Leber nicht beeinträchtig t</w:t>
      </w:r>
    </w:p>
    <w:p>
      <w:r>
        <w:t>( Urk. 10 / 83/28 , Urk. 10 / 83/58</w:t>
      </w:r>
    </w:p>
    <w:p>
      <w:r>
        <w:t>Urk. 10 / 83/70-71 und Urk.</w:t>
      </w:r>
    </w:p>
    <w:p>
      <w:r>
        <w:t>10 /83/79-80) . Ferner konnte weder eine verminderte Konzentrations- und</w:t>
      </w:r>
    </w:p>
    <w:p>
      <w:r>
        <w:t>Aufmerksamkeitsfähigkeit noch eine verminderte Gleichgewichtsfähigkeit ausgemacht werden (Urk.</w:t>
      </w:r>
    </w:p>
    <w:p>
      <w:r>
        <w:t>10/83/27 und Urk. 10/83/57). Vor diesem Hintergrund und angesichts des geregelten Alltags sowie der geschilderten Alltagsaktivitäten – Yogaübungen, Haushalt- und Gärtnerarbeit, Einkaufen, Kochen, Velofahren, Spazieren, Kursbesuche – ( Urk. 10/83/25, Urk. 10/83/41, Urk. 10/83/54-55, Urk. 10/83/68) kann der von der Beschwerdeführerin anlässlich der internistischen Begutachtung angegebene rückfällige Konsum von ein bis zwei Flaschen Wein pro Tag (Urk.</w:t>
      </w:r>
    </w:p>
    <w:p>
      <w:r>
        <w:t>10/83/67) im Lichte der gutachterlich festgestellten Verdeutlichungstendenz betrachtet werden , wodurch</w:t>
      </w:r>
    </w:p>
    <w:p>
      <w:r>
        <w:t>eine komplexe Suchtproblematik mit Auswirkung auf die Arbeitsfähigkeit nicht dargetan ist . Jedoch kann der Ansicht des begutachtenden Psychiaters, dass die komplexe Suchtproblematik sowie die schwierige Lebenssituation der Beschwerdeführerin zu beklagt wechselhaft deprimierten Gemütszuständen führten ( Urk. 10/83/31), durchaus gefolgt werden . Insofern erscheint auch die gutachterliche Empfehlung , eine erneute Abstinenz durch eine</w:t>
      </w:r>
    </w:p>
    <w:p>
      <w:r>
        <w:t>qualifizierte Entwöhnungsbehandlung im vollstationären Rahmen eine r</w:t>
      </w:r>
    </w:p>
    <w:p>
      <w:r>
        <w:t>Fachklinik f ür Abhängigkeitserkrankungen zu erlangen ,</w:t>
      </w:r>
    </w:p>
    <w:p>
      <w:r>
        <w:t>nachvollziehbar</w:t>
      </w:r>
    </w:p>
    <w:p>
      <w:r>
        <w:t>und schlüssig ( Urk. 10 /83/32 ) . Eine Entwöhnungsbehandlung zur Verbesserung der Arbeitsfähigkeit wurde der Beschwerdeführerin hingegen nur aus internistischer Sicht empfohlen, da die Arbeitsleistung gemäss dem internistischen Teilgutachter zurzeit aufgrund der bestehenden Müdigkeit, welche teilweise auf die gestörte Leberfunktion zurückgeführt wird, beeinträchtigt ist. Somit würde e ine konstante Abstinenz zur V erbesserung der pathologisch</w:t>
      </w:r>
    </w:p>
    <w:p>
      <w:r>
        <w:t>erhöhten Leberwerte, damit der Müdigkeit und dadurch zu einer reduzierten Arbeitsunfähigkeit führen ( vgl. Urk. 10 /83/ 7 1 - 7 3 ).</w:t>
      </w:r>
    </w:p>
    <w:p>
      <w:r>
        <w:t>Insgesamt gingen die</w:t>
      </w:r>
    </w:p>
    <w:p>
      <w:r>
        <w:t>A.___ -Gutachter somit aufgrund der vorliegenden Akten sowie den durchgeführten Untersuchungen von einer volle n Arbeitsunfähigkeit</w:t>
      </w:r>
    </w:p>
    <w:p>
      <w:r>
        <w:t>in der angestammten Tätigkeit und von einer 30%igen</w:t>
      </w:r>
    </w:p>
    <w:p>
      <w:r>
        <w:t>in einer angepassten Tätigkeit nach Belastungsprofil aus</w:t>
      </w:r>
    </w:p>
    <w:p>
      <w:r>
        <w:t>(vgl. E. 4 . 3 ) , worauf abzustellen ist . 5 .3</w:t>
      </w:r>
    </w:p>
    <w:p>
      <w:r>
        <w:t>Zusammenfassend ist das Gutachten vom 9. Februar 2023 ( Urk. 10/83) voll beweiskräftig. Von weiteren Abklärungen, wie von der Beschwerdeführerin gefordert, sind keine zusätzlichen Erkenntnisse zu erwarten, weshalb darauf in antizipierter Beweiswürdigung (vgl. BGE 122 V 157 E. 1d mit Hinweisen) zu verzichten ist. Daran vermögen weder</w:t>
      </w:r>
    </w:p>
    <w:p>
      <w:r>
        <w:t>der Bericht vom 2 4. März 2023 (Urk.</w:t>
      </w:r>
    </w:p>
    <w:p>
      <w:r>
        <w:t>10/105) noch die Stellungnahme vom 6. April 2023</w:t>
      </w:r>
    </w:p>
    <w:p>
      <w:r>
        <w:t>( Urk. 10 /97) oder der Bericht vom 31. Juli 2023 (Eingangsdatum, Urk. 10/103 ) der Klinik Z.___ , wonach die Beschwerdeführerin auf dem ersten Arbeitsmarkt bzw. in jeglicher Tätigkeit voll</w:t>
      </w:r>
    </w:p>
    <w:p>
      <w:r>
        <w:t>arbeitsunfähig sei , etwas</w:t>
      </w:r>
    </w:p>
    <w:p>
      <w:r>
        <w:t>zu ändern. So enthalten die Berichte keine neuen medizinischen Erkenntnisse und lassen umfassende fachärztliche Untersuchungen vermissen. Des Weiteren wurde darin nicht dargetan, weshalb die Beschwerdeführerin in jeglichen Tätigkeiten vollumfänglich arbeitsunfähig sein soll . Ebenso</w:t>
      </w:r>
    </w:p>
    <w:p>
      <w:r>
        <w:t>wies auch der RAD-Arzt darauf hin, dass sowohl nach Eingang des Berichts vom 2 4. März 2023 der Klinik Z.___ (Urk. 10/105) als auch</w:t>
      </w:r>
    </w:p>
    <w:p>
      <w:r>
        <w:t>nach der Wiederholung der ursprünglich fehlerhaften Tonaufnahme im Rahmen der allgemein medizinischen Teilbegutachtung vom 3. Januar 2023 ( Urk. 10/116) weiterhin auf das A.___ -Gutachten vom 9. Februar 2023 abgestellt werden könne ( E. 4 . 5 ) , was mit Blick auf die</w:t>
      </w:r>
    </w:p>
    <w:p>
      <w:r>
        <w:t>in der gutachterlichen Untersuchungen ( zwischen dem 2 3. November sowie 1 5. Dezember 2022 )</w:t>
      </w:r>
    </w:p>
    <w:p>
      <w:r>
        <w:t>festgestellte Verdeutlichungstendenz , bzw. des bereits damals angegebenen Rückfalls in den Alkoholüberkonsum von ein bis zwei Flaschen Wein pro Tag (E. 5 .2) ,</w:t>
      </w:r>
    </w:p>
    <w:p>
      <w:r>
        <w:t>umso begründeter erscheint . Darüber hinaus erfolgte zwar ein stationäre r Aufenthalt in der Klinik Z.___</w:t>
      </w:r>
    </w:p>
    <w:p>
      <w:r>
        <w:t>vom 2 6. Januar bis 23. März 2023 , jedoch</w:t>
      </w:r>
    </w:p>
    <w:p>
      <w:r>
        <w:t>wurde bis zum Verfügungserlass am 29. Januar 2024 kein l ängerer stationäre r Aufenthalt in einer Entzugsklinik dokumentiert .</w:t>
      </w:r>
    </w:p>
    <w:p>
      <w:r>
        <w:t>Ebenfalls sind weder dem E-Mail vom 9.</w:t>
      </w:r>
    </w:p>
    <w:p>
      <w:r>
        <w:t>Februar 2024 ( Urk. 3/5) oder der Stellungnahme vom 27. Februar 2024 ( Urk. 7)</w:t>
      </w:r>
    </w:p>
    <w:p>
      <w:r>
        <w:t>der Oberärztin B.___</w:t>
      </w:r>
    </w:p>
    <w:p>
      <w:r>
        <w:t>noch dem Verlaufsberichts des Ambulatoriums E.___ der Klinik Z.___ vom 24.</w:t>
      </w:r>
    </w:p>
    <w:p>
      <w:r>
        <w:t>April 2024 ( Urk. 16) neue Einschränkungen zu entnehmen und</w:t>
      </w:r>
    </w:p>
    <w:p>
      <w:r>
        <w:t>sie lassen ebenfalls umfassende und konkludente Ausführungen zur Arbeitsfähigkeit vermissen. Im Übrigen ist die Erfahrungstatsache zu berücksichtigen, dass behandelnde Ärztinnen und Ärzte im Hinblick auf ihre auftragsrechtliche Vertrauensstellung in Zweifelsfällen eher zu Gunsten ihrer Patientinnen und Patienten aussagen (BGE 135 V 465 E. 4.5, 125 V 351 E. 3b/cc).</w:t>
      </w:r>
    </w:p>
    <w:p>
      <w:r>
        <w:t>Gleich verhält es sich mit dem Bericht der Universitätsklinik C.___ vom 2 6. Juni 2024 ( Urk. 14) , wobei darauf hinzuweisen ist, dass der Erlass der angefochtenen Verfügung (hier: 2 9. Januar 2024 ) die Grenze der richterlichen Überprüfungsbefugnis bildet . 6 .</w:t>
      </w:r>
    </w:p>
    <w:p>
      <w:r>
        <w:t>Zu prüfen bleibt, wie sich die aus internistischer Sicht eingeschränkte Leistungsfähigkeit der Beschwerdeführerin in erwerblicher Hinsicht auswirkt. 6.1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6.2</w:t>
      </w:r>
    </w:p>
    <w:p>
      <w:r>
        <w:t>Gemäss Erwerbsbiographie ( Urk. 10/7 ) übte die Beschwerdeführerin</w:t>
      </w:r>
    </w:p>
    <w:p>
      <w:r>
        <w:t>von 1991 bis 2004 Gelegenheitsjobs im Hotel- und Gastronomiebereich aus und war s eit Juli 2004 nicht mehr erwerbstätig . Ferner attestierten die</w:t>
      </w:r>
    </w:p>
    <w:p>
      <w:r>
        <w:t>A.___ -Gutachter der Beschwerde führerin seit Juni 2018 eine 3 0%ige Arbeitsunfähigkeit in einer leichten Hilfstätigkeit gemäss Belastungsprofil (E. 4.3).</w:t>
      </w:r>
    </w:p>
    <w:p>
      <w:r>
        <w:t>Angesichts dessen ist im Rahmen der Bemessung des Invaliditätsgrades das Validen- und Invalidenein kommen ausgehend vom gleichen Tabellenlohn zu berechnen , weshalb ein vereinfachter Erwerbsvergleich vorgenommen werden kann ( Valideneinkommen 100 % , Invalideneinkommen 70 % ) . Da die gutachterliche Einschätzung sämtliche Einschränkungen bei zumutbarer vollzeitlicher Präsenz berücksichtigt, bleibt kein Raum mehr für einen sogenannten Leidensabzug. Hieraus folgt ein rentenausschliessender Invaliditätsgrad von 3 0 % . 6 .3</w:t>
      </w:r>
    </w:p>
    <w:p>
      <w:r>
        <w:t>Demnach besteht aufgrund des nicht rentenbegründenden Invaliditätsgrades kein Anspruch der Beschwerdeführerin auf eine Invalidenrente (E. 1. 5 ). 7 .</w:t>
      </w:r>
    </w:p>
    <w:p>
      <w:r>
        <w:t>Nach dem Gesagten erweist sich die angefochtene Verfügung als rechtens, was zur Abweisung der Beschwerde führt. 8.</w:t>
      </w:r>
    </w:p>
    <w:p>
      <w:r>
        <w:t>Gemäss</w:t>
      </w:r>
    </w:p>
    <w:p>
      <w:r>
        <w:t>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festgelegt.</w:t>
      </w:r>
    </w:p>
    <w:p>
      <w:r>
        <w:t>Vorliegend erweist sich eine Kostenpauschale von Fr. 8 00.-- als angemessen. Da vorliegend jedoch die Voraussetzungen zur Bewilligung der unentgeltlichen Prozessführung gemäss</w:t>
      </w:r>
    </w:p>
    <w:p>
      <w:r>
        <w:t>§</w:t>
      </w:r>
    </w:p>
    <w:p>
      <w:r>
        <w:rPr>
          <w:b/>
        </w:rPr>
        <w:t>E. 16</w:t>
      </w:r>
    </w:p>
    <w:p>
      <w:r>
        <w:t>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