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IV.2024.00077 vom 16. September 2025</w:t>
      </w:r>
    </w:p>
    <w:p>
      <w:r>
        <w:t>ZH Sozialversicherungsgericht, 2025-09-16, DE</w:t>
      </w:r>
    </w:p>
    <w:p>
      <w:r>
        <w:rPr>
          <w:b/>
        </w:rPr>
        <w:t xml:space="preserve">Quelle: </w:t>
      </w:r>
      <w:r>
        <w:t>https://mcp.opencaselaw.ch/entscheid/zh_sozialversicherungsgericht_IV.2024.00077</w:t>
      </w:r>
    </w:p>
    <w:p>
      <w:r>
        <w:t>FR: ZH_SOZIALVERSICHERUNGSGERICHT IV.2024.00077 du 16 septembre 2025</w:t>
      </w:r>
    </w:p>
    <w:p>
      <w:r>
        <w:t>IT: ZH_SOZIALVERSICHERUNGSGERICHT IV.2024.00077 del 16 settembre 2025</w:t>
      </w:r>
    </w:p>
    <w:p>
      <w:pPr>
        <w:pStyle w:val="Heading2"/>
      </w:pPr>
      <w:r>
        <w:t>Erwägungen</w:t>
      </w:r>
    </w:p>
    <w:p>
      <w:r>
        <w:rPr>
          <w:b/>
        </w:rPr>
        <w:t>E. 2</w:t>
      </w:r>
    </w:p>
    <w:p>
      <w:r>
        <w:t>Die Gerichtskosten von Fr. 900 .-- werden der Beschwerdegegnerin auferlegt.</w:t>
      </w:r>
    </w:p>
    <w:p>
      <w:r>
        <w:t>Rechnung und Einzahlungsschein werden der Kostenpflichtigen nach Eintritt der Rechtskraft zugestellt.</w:t>
      </w:r>
    </w:p>
    <w:p>
      <w:r>
        <w:rPr>
          <w:b/>
        </w:rPr>
        <w:t>E. 3</w:t>
      </w:r>
    </w:p>
    <w:p>
      <w:r>
        <w:t>Die Beschwerdegegnerin wird verpflichtet, der Beschwerdeführerin eine Parteientschä digung von Fr. 3’000 .-- (inkl. Barauslagen und MWST) zu bezahlen.</w:t>
      </w:r>
    </w:p>
    <w:p>
      <w:r>
        <w:rPr>
          <w:b/>
        </w:rPr>
        <w:t>E. 4</w:t>
      </w:r>
    </w:p>
    <w:p>
      <w:r>
        <w:t>Zustellung gegen Empfangsschein an: - Advokat Stephan Müller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