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IV.2024.00009 vom 17. Juli 2024</w:t>
      </w:r>
    </w:p>
    <w:p>
      <w:r>
        <w:t>ZH Sozialversicherungsgericht, 2024-07-17, DE</w:t>
      </w:r>
    </w:p>
    <w:p>
      <w:r>
        <w:rPr>
          <w:b/>
        </w:rPr>
        <w:t xml:space="preserve">Quelle: </w:t>
      </w:r>
      <w:r>
        <w:t>https://mcp.opencaselaw.ch/entscheid/zh_sozialversicherungsgericht_IV.2024.00009</w:t>
      </w:r>
    </w:p>
    <w:p>
      <w:r>
        <w:t>FR: ZH_SOZIALVERSICHERUNGSGERICHT IV.2024.00009 du 17 juillet 2024</w:t>
      </w:r>
    </w:p>
    <w:p>
      <w:r>
        <w:t>IT: ZH_SOZIALVERSICHERUNGSGERICHT IV.2024.00009 del 17 luglio 2024</w:t>
      </w:r>
    </w:p>
    <w:p>
      <w:pPr>
        <w:pStyle w:val="Heading2"/>
      </w:pPr>
      <w:r>
        <w:t>Erwägungen</w:t>
      </w:r>
    </w:p>
    <w:p>
      <w:r>
        <w:rPr>
          <w:b/>
        </w:rPr>
        <w:t>E. 1</w:t>
      </w:r>
    </w:p>
    <w:p>
      <w:r>
        <w:t>Die 1967 geborene, bis 2015 als Servicemitarbeiterin tätige X.___ meldete sich am 9. Oktober 2020 unter Hinweis auf diverse gesundheitliche Beschwerden bei der Sozialversicherungsanstalt des Kantons Zürich, IV-Stelle, zum Bezug von Leistungen an (Urk. 7/6). Im Zuge ihrer Abklä rungen holte die IV-Stelle ein psychiatrisch-rheumatologisches Gutachten (Expertise vom 15. Juni 2023, Urk. 7/55) ein und wies nach durchgeführtem Vorbescheidverfahren (Vorbescheid vom 12. Juli 2023, Urk. 7/60, Einwand vom 12. September 2023, Urk. 7/67, 71-72) das Leistungsbegehren der Versicherten mit Verfügung vom 23. November 2023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Oktober 2020 anhängig gemachten Anmeldung bei der Invali denversicherung könnten allfällige Leistungen frühestens ab April 2021</w:t>
      </w:r>
    </w:p>
    <w:p>
      <w:r>
        <w:t>ausge richtet werden (vgl. Art. 29 Abs. 1 IVG). In dieser übergangsrechtlichen Konstel 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w:t>
      </w:r>
    </w:p>
    <w:p>
      <w:r>
        <w:rPr>
          <w:b/>
        </w:rPr>
        <w:t>E. 2</w:t>
      </w:r>
    </w:p>
    <w:p>
      <w:r>
        <w:t>Während die Beschwerdegegnerin dem angefochtenen Entscheid das von ihr ein geholte bidisziplinäre Gutachten und damit eine Arbeitsfähigkeit der Beschwer deführerin von 85 % in angepassten Tätigkeiten zugrunde legte (Urk. 2), hält diese dafür, das psychiatrische (Teil)Gutachten sei fehlerhaft, da zwar Befunde einer posttraumatischen Belastungsstörung erhoben worden seien, die entspre chende Diagnose aber nicht gestellt worden sei. Mithin seien entsprechende Auswirkungen auf die Arbeitsfähigkeit nicht erkannt worden. Zudem habe der Gutachter weder den langjährigen massiven Alkoholkonsum als solchen noch dessen Wirkzusammenhang mit der Traumatisierung besprochen, was ebenfalls einen Mangel darstelle. Die zum Administrativgutachten eingeholte Stellung nahme der Z.___ vom 14. Dezember 2023 unterstreiche deutlich die Unklarheiten und Mängel des Gutachtens. Mithin sei der rechtserhebliche Sachverhalt nicht ausreichend abgeklärt, was insbesondere mittels erneuter psychiatrischer Begut achtung nachzuholen sei (Urk. 1).</w:t>
      </w:r>
    </w:p>
    <w:p>
      <w:r>
        <w:rPr>
          <w:b/>
        </w:rPr>
        <w:t>E. 3.1</w:t>
      </w:r>
    </w:p>
    <w:p>
      <w:r>
        <w:t>Die Beschwerdeführerin wurde am 30. März 2023 rheumatologisch (Urk. 7/55/33) und am 10. Mai 2023 psychiatrisch (Urk. 7/55/4) untersucht (Gutachten vom 15.</w:t>
      </w:r>
    </w:p>
    <w:p>
      <w:r>
        <w:t>Juni 2023, Urk. 7/55).</w:t>
      </w:r>
    </w:p>
    <w:p>
      <w:r>
        <w:rPr>
          <w:b/>
        </w:rPr>
        <w:t>E. 3.2</w:t>
      </w:r>
    </w:p>
    <w:p>
      <w:r>
        <w:t>Der rheumatologische Gutachter erhob einen weitgehend unauffälligen Befund (Urk. 7/55/41 f.) und hielt dafür, die von der Beschwerdeführerin am Bewegungs apparat beschriebenen Beschwerden seien im Sinne von unspezifischen mecha nischen Schmerzen aus rheumatologischer Sicht nachvollziehbar. Es würden sich aber zusätzlich deutliche Zeichen von somatisch nicht erklärbaren Schmerzen am Bewegungsapparat finden. Diese zusätzliche Beschwerdesymptomatik entspreche keinem rheumatologischen Krankheitsbild und sei daher aus dieser Sicht nicht plausibel. Die anamnestischen Kriterien einer Fibromyalgie seien nicht erfüllt. Mithin bestehe auf rheumatologischem Fachgebiet keine Diagnose mit Auswir kung auf die Arbeitsfähigkeit, was mit der Beurteilung aus der Hausarztpraxis übereinstimme, wonach nur vorübergehend für spezifische Arbeiten Einschrän kungen der Arbeitsfähigkeit attestiert worden seien. Ohne Auswirkung auf die Arbeitsfähigkeit bestünden (1) intermittierende unspezifische Kreuzschmerzen, (2) eine muskuläre Dysbalance am Schultergürtel beidseits, (3) eine Rhizarthrose rechts, (4) ein Status nach Kniekontusion beidseits und Rissquetschwunde, (5) ein Hallux valgus rechts mehr als links, (6) Spreizfüsse sowie (7) klinisch deutliche Zeichen eines organisch nicht erklärbaren Schmerzsyndroms (Urk. 7/55/43). Entsprechend den klinisch nicht ausgeprägten Befunden würden auch keine um fangreichen Therapiemassnahmen durchgeführt (Urk. 7/55/44). Zur Arbeitsfähig keit hielt der Gutachter fest, eine längerdauernde Einschränkung aus rheumato logischer Sicht in bisheriger Tätigkeit bestehe nicht. Auch in optimal angepasster Tätigkeit, welche einer körperlich leichten bis mittelschweren und wechselbe lastende n Tätigkeit ohne spezifische Belastung der Kniegelenke entspreche, bestehe keine Einschränkung der Arbeits- und Leistungsfähigkeit (Urk. 7/55/46).</w:t>
      </w:r>
    </w:p>
    <w:p>
      <w:r>
        <w:rPr>
          <w:b/>
        </w:rPr>
        <w:t>E. 3.3.1</w:t>
      </w:r>
    </w:p>
    <w:p>
      <w:r>
        <w:t>Gegenüber dem psychiatrischen Gutachter berichtete die Beschwerdeführerin von Einschlafstörungen und einer Depression sowie von nächtlichem Aufschrecken wegen Albträumen; hierunter leide sie seit etwa 30 Jahren, als sie in Thailand vergewaltigt worden sei (Urk. 7/55/8). Des Weiteren höre sie regelmässig Stimmen. Die Stimme habe ihr früher gesagt, sie solle sich umbringen; heute sage sie nur noch ihren Namen. Sie höre diese Stimme seit über 10 Jahren. Sodann schilderte sie, sich unter Menschen nicht wohl zu fühlen, oft traurig und manch mal müde zu sein (Urk. 7/55/9). Früher habe sie viel Alkohol getrunken, seit 2016 trinke sie aber keinen Tropfen mehr (Urk. 7/55/10).</w:t>
      </w:r>
    </w:p>
    <w:p>
      <w:r>
        <w:rPr>
          <w:b/>
        </w:rPr>
        <w:t>E. 3.3.2</w:t>
      </w:r>
    </w:p>
    <w:p>
      <w:r>
        <w:t>Der psychiatrische Gutachter hielt fest, die Beschwerdeführerin habe im Rahmen der Untersuchung eine ausgeglichene Stimmung gezeigt; zu keinem Zeitpunkt der 110 Minuten dauernden Exploration habe sich eine bedrück t -traurige oder gereizt-aggressive Stimmung erkennen lassen (Urk. 7/55/14). Relevante Beein trächtigungen der Konzentration, Aufmerksamkeit oder Auffassung hätten sich ebenso wenig gefunden wie Ermüdungszeichen. Ein paar wenige Male habe die Beschwerdeführerin herzhaft lachen können, hinter der Schutzmaske habe sich sodann zeitweise ein Lächeln erkennen lassen. Eine Schreckhaftigkeit, Hyper vigilanz oder Dissoziationen hätten sich anlässlich der aktuellen Untersuchung nicht nachweisen lassen, insbesondere keine Anhedonie (Urk. 7/55/15).</w:t>
      </w:r>
    </w:p>
    <w:p>
      <w:r>
        <w:rPr>
          <w:b/>
        </w:rPr>
        <w:t>E. 3.3.3</w:t>
      </w:r>
    </w:p>
    <w:p>
      <w:r>
        <w:t>Der Gutachter diagnostizierte als mit Auswirkung auf die Arbeitsfähigkeit eine rezidivierende depressive Störung mit chronischem Verlauf und gegenwärtig leichtgradiger Episode ohne somatisches Syndrom. Ohne Auswirkung auf die Arbeitsfähigkeit seien aktenanamnestisch eine posttraumatische Belastungs störung sowie akzentuierte (ängstlich-vermeidende) Persönlichkeitszüge zu diagnostizieren (Urk. 7/55/16). Er führte aus, bezüglich der Depressionen sei es zu einer deutlichen Verbesserung gekommen, insbesondere hätten sich die Schlafstörung verbessert, seien die Suizidgedanken verschwunden und habe die Beschwerdeführerin mehr Energie. Angesichts der anamnestisch berichteten Symptome, welche die zur Diagnosestellung einer depressiven Episode notwen digen Kriterien erfüllten, der anlässlich der aktuellen Untersuchung erhobenen ausgeglichenen Stimmung und infolge fehlender relevanter kognitiver Beein trächtigungen sei der Schweregrad der Depression aktuell als leichtgradig zu beurteilen. Eine Persönlichkeitsstörung sei nicht zu diagnostizieren, indessen liessen sich akzentuierte-vermeidende Persönlichkeitszüge feststellen: die Beschwerdeführerin neige dazu, sich zurückzuziehen und den Kontakt mit ande ren Menschen zu vermeiden, wobei sie sich zwischenzeitlich Mühe gebe, sich wieder unter die Menschen zu begeben, was wohl Resultat der therapeutischen Bemühungen sei (Urk. 7/55/19). Zu den anamnestisch eruierbaren Symptomen der seit 30 Jahren regelmässig auftretenden Albträume in der Nacht hielt der Gutachter fest, die Beschwerdeführerin habe ihm gerade zu Beginn der Explora tion einen Selbstbeantwortungsbogen ausgehändigt und vom psychiatrischen Behandler ausrichten lassen, sie dürfe nicht über ihr traumatisierendes Erlebnis vor über 35 Jahren sprechen. Sie habe dann aber doch - wenn auch nur ober flächlich - darüber gesprochen, dass sie im Alter von 19/20 Jahren vergewaltigt worden sei; bei dieser Erzählung habe sie geweint. Es hätten sich indessen während der ganzen Untersuchung keine Schreckhaftigkeit, Hypervigilanz oder Dissoziationen nachweisen lassen, insbesondere keine Anhedonie und bezüglich der Albträume seien die Angaben der Versicherten vage geblieben. Anamnestisch hätten sich sodann keine typischen Intrusionen nachweisen lassen. Es komme hinzu, dass die Beschwerdeführerin seit 30 Jahren unter diesen Albträumen leide und trotzdem meist im Rahmen von 100 % ihrer bisherigen Tätigkeit als Servicemitarbeiterin in Bars habe nachgehen können. Den Angaben der Beschwerdeführerin zufolge sei es dabei auch nicht zu ausgeprägten Konflikten mit Gästen oder Vorgesetzten gekommen. Unter Berücksichtigung all dieser Faktoren müsse davon ausgegangen werden, dass die Diagnose einer posttrau matischen Belastungsstörung nicht gestellt werden könne. Auch die Kriterien für die Diagnose einer komplexen posttraumatischen Belastungsstörung könnten nicht als erfüllt betrachtet werden, zumal sich keine auslösenden Ereignisse anamnestisch eruieren liessen, welche als schwerwiegend genug betrachtet werden könnten, um eine bis anhin nicht manifest gewordene posttraumatische Belastungsstörung manifest werden zu lassen (Urk. 7/55/20). Zur Arbeitsfähigkeit hielt der psychiatrische Gutachter schliesslich fest, wegen des Risikos eines Rück falls in den Alkoholabusus sei der Versicherten die bisherige Tätigkeit an der Bar nicht mehr zumutbar (Urk. 7/55/21-22). Bei einer optimal angepassten Tätigkeit bestehe am Arbeitsplatz kein Kontakt mit Alkohol; in einer solchen Tätigkeit sei eine Präsenz der Beschwerdeführerin von 7 Stunden täglich möglich, was einem Pensum von 85 % entspreche (Urk. 7/55/23).</w:t>
      </w:r>
    </w:p>
    <w:p>
      <w:r>
        <w:rPr>
          <w:b/>
        </w:rPr>
        <w:t>E. 3.4</w:t>
      </w:r>
    </w:p>
    <w:p>
      <w:r>
        <w:t>Die Gutachter kamen im Rahmen der Konsensbeurteilung zum Schluss, dass unter Berücksichtigung des rheumatologischen Belastbarkeitsprofils als Konsens beurteilung jene des psychiatrischen Gutachtens uneingeschränkt zu übernehmen sei (Urk. 7/55/30).</w:t>
      </w:r>
    </w:p>
    <w:p>
      <w:r>
        <w:rPr>
          <w:b/>
        </w:rPr>
        <w:t>E. 4.1</w:t>
      </w:r>
    </w:p>
    <w:p>
      <w:r>
        <w:t>Die Beschwerdeführerin wendet sich explizit bloss gegen das Gutachten aus psychiatrischer Sicht. Nachdem keine fachärztlichen Berichte aktenkundig sind, die geeignet wären, die Einschätzung des rheumatologischen Gutachters in Frage zu stellen, ist für die vorliegende Streitsache die gutachterliche Beurteilung zugrunde zu legen, wonach unter Berücksichtigung des rheumatologischen Belastbarkeitsprofils aus somatischer Sicht keine Einschränkung der Arbeits fähigkeit besteht (E. 3.2).</w:t>
      </w:r>
    </w:p>
    <w:p>
      <w:r>
        <w:rPr>
          <w:b/>
        </w:rPr>
        <w:t>E. 4.2</w:t>
      </w:r>
    </w:p>
    <w:p>
      <w:r>
        <w:t>Die Vorwürfe der Beschwerdeführerin, wonach das psychiatrische Gutachten an Mängeln leide (E. 2.), sind sodann unbegründet. Der Gutachter hat ausführlich dargelegt, weshalb trotz nächtlicher Albträume nicht auf eine posttraumatische Belastungsstörung zu schliessen und dass mangels auslösenden Ereignisses auch die Diagnose einer komplexen posttraumatischen Belastungsstörung nicht erfüllt ist (Urk. 7/55/20). Mit Blick darauf, dass die Beschwerdeführerin jahrelanger Tätigkeit in Bars nachgehen konnte, der Gutachter bei ausgeglichener Stimmung keinerlei Schreckhaftigkeit, Hypervigilanz oder Dissoziationen erheben konnte und die Beschwerdeführerin dem psychiatrischen Sachverständigen keine Kon flikte mit Gästen oder Vorgesetzten berichtete (E. 3.3.3 am Ende), ist der Schluss des Gutachters nachvollziehbar und plausibel. Eine Retraumatisierung lässt sich denn, wie sich mit hinreichender Klarheit aus dem Bericht der p sy chiatrischen Klinik Z.___ vom 14. Dezember 2023 ergibt, wonach das Datum der Retraumatisierung nicht bekannt sei (Urk. 3/4 S. 2), nicht erstellen. Soweit die Beschwerdeführerin beanstandet, der Gutachter habe weder den Alkoholkonsum noch dessen Wirkzusammenhang mit der Traumatisierung thematisiert, weshalb auch aus dieser Sicht ein klarer Mangel bestehe, vermag sie ebenfalls nicht durchzudringen. Zum einen erklärte der psychiatrische Gutachter, die bisherige Tätigkeit in einer Bar sei wegen dem Risiko eines Rückfalls in den Alkoholkonsum nicht zumutbar (E. 3.3.3 am Ende) , und zum anderen führte er aus, Sekundärfolgen des langjährigen Alkoholkonsums seien nicht festzustellen (Urk. 7/55/21). Damit hat er sich entgegen der Auffassung der Beschwerde führerin hinreichend mit der Problematik des Alkoholkonsums auseinander gesetzt. Zudem ist auf Folgendes hinzuweisen: Gemäss eigenen Angaben der Beschwerdeführerin stoppte sie ihren Alkoholkonsum bereits im Jahr 2016 (E. 3.3.1), was die Sachverständigen der Z.___ nicht in Frage stellten (Urk. 3/4 S. 2). Dennoch waren im Dezember 2021 die Symptome einer posttraumatischen Belastungsstörung nicht zu erheben (Bericht der Z.___ vom 2. Dezember 2021, Urk. 7/31/2, wobei die Konsultationen in Anwesenheit einer Dolmetscherin statt gefunden hätten) und bezeichneten die Behandler die Prognose als eher positiv sowie das Erreichen einer Teilarbeitsfähigkeit für möglich (Urk. 7/31/5). Im Rahmen der bis Herbst 2020 verlängerten und durch die sozialen Dienste durch geführte Arbeitsintegration hatte sich die Beschwerdeführerin sehr engagiert gezeigt und sich problemlos auf die Arbeit im Team eingelassen (Urk. 7/4/6). Das Vorbringen, durch den mit dem Verlust der letzten Arbeitsstelle einhergehenden Verzicht auf den Alkoholkonsum sei die Unterdrückung der Symptomatik der posttraumatischen Belastungsstörung weggefallen , weshalb diese an Bedeutung gewonnen h abe , findet demnach in den Akten keine Stütze. Zu Recht hat der psychiatrische Gutachter denn auch die Berichte der Z.___ , deren Sachverständige vorerst ohne weitere Begründung die Diagnose einer posttraumatischen Belas tungsstörung gestellt hatten, um eine solche im Dezember 2021 wieder zu verwerfen und im Mai 2023 erneut das Vorliegen der fraglichen Diagnose zu suggerieren, als widersprüchlich bezeichnet (Urk. 7/55/20-21). Nachdem sich - wie vorstehend dargelegt - eine Retraumatisierung nicht erstellen lässt, sind die Berichte der Z.___ vom 25. September (Urk. 7/71) und 14. Dezember 2023 (Urk.</w:t>
      </w:r>
    </w:p>
    <w:p>
      <w:r>
        <w:t>3/4) nicht geeignet, die vom psychiatrischen Gutachter in Kenntnis der Vorakten und unter Berücksichtigung der von der Beschwerdeführerin geklagten Beschwer den abgegebene, einleuchtende Schlussfolgerung zu erschüttern.</w:t>
      </w:r>
    </w:p>
    <w:p>
      <w:r>
        <w:t>Der Vollständigkeit halber ist darauf hinzuweisen, dass zwar die einen längeren Zeitraum abdeckende und umfassende Behandlung oft wertvolle Erkenntnisse zeitigen kann; die unterschiedliche Natur von Behandlungsauftrag der therapeu tisch tätigen (Fach-)Person einerseits und Begutachtungsauftrag des amtlich bestellten fachmedizinischen Experten anderseits (BGE 124 I 170 E. 4) lässt es jedoch nicht zu, ein Administrativ- oder Gerichtsgutachten stets in Frage zu stellen und zum Anlass weiterer Abklärungen zu nehmen, wenn die behandeln den Arztpersonen beziehungsweise Therapiekräfte zu anderslautenden Einschät 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w:t>
      </w:r>
    </w:p>
    <w:p>
      <w:r>
        <w:t>Solche Aspekte, welche im Rahmen der gutachterlichen Exploration unerkannt geblieben wären, sind nicht aktenkundig gemacht. Hierfür kann auch nicht genügen, dass Symptome, die sich anlässlich der Exploration explizit nicht erheben liessen (E. 3.3.2 ; vgl. auch Urk. 7/55/8</w:t>
      </w:r>
    </w:p>
    <w:p>
      <w:r>
        <w:t>ff. unter dem Titel «vertiefende Befragung» und Urk. 7/55/15 ), nunmehr als vorhanden behauptet werden, sofern denn gezielt danach gefragt werde (Urk. 7/71/4). Soweit schliess lich die Dauer der psychiatrischen Begutachtung bemängelt wird (Urk. 1 Ziff. 3 und Urk. 7/71/1), ist darauf hinzuweisen, dass nach konstanter Rechtsprechung aus einer verhältnismässig kurzen Dauer der psychiatrischen Exploration nicht von vornherein auf eine Sorgfaltswidrigkeit des Gutachters geschlossen werden kann. Für den Aussagegehalt eines medizinischen Berichts kommt es nicht in erster Linie auf die Dauer der Untersuchung an. Massgeblich ist vielmehr, ob der Bericht inhaltlich vollständig und im Ergebnis schlüssig ist. Der für eine psychiatrische Untersuchung zu betreibende zeitliche Aufwand hängt stets von der Fragestellung und der zu beurteilenden Psychopathologie ab (vgl. Urteil des Bundesgerichts 8C_715/2022 vom 8. März 2023 E. 5.3.1). Anhaltspunkte dafür, dass der psychiatrische Gutachter die entsprechenden Vorgaben nicht oder nur ungenügend beachtet hätte, lassen sich nicht erkennen. Das psychiatrische Gutachten umfasst die Befragung mit jetzigem Leiden, Anamnese sowie Tages ablauf (Urk. 7/55/8 ff.), enthält eine Verhaltensbeobachtung und den erhobenen psychiatrischen Befund (Urk. 7/55/14 ff.), die Herleitung der Diagnosen und die medizinische Beurteilung unter Berücksichtigung der Standardindikatoren sowie eine Auseinandersetzung mit den Vorakten (Urk. 7/55/16 ff.). Damit entspricht das Gutachten den vom Bundesgericht postulierten beweisrechtlichen Anforde rungen (E. 1.5) . Ein Mangel ist nicht erkennbar. Ebenso wenig vermag der blosse Umstand, dass die psychiatrische Exploration von eine m Gutachter durchgeführt wurde, einen Mangel zu begründen (vgl. den entsprechenden Vorhalt in Urk.</w:t>
      </w:r>
    </w:p>
    <w:p>
      <w:r>
        <w:t>7/71/5), zumal sich die Beschwerdeführerin offenkundig von einem männ lichen psychiatrischen Behandler therapieren lässt (Urk. 7/55/13; 7/71/6) und eine Dolmetscherin das Gespräch anlässlich der Begutachtung übersetzte (Urk.</w:t>
      </w:r>
    </w:p>
    <w:p>
      <w:r>
        <w:t>7/55/14).</w:t>
      </w:r>
    </w:p>
    <w:p>
      <w:r>
        <w:rPr>
          <w:b/>
        </w:rPr>
        <w:t>E. 4.3</w:t>
      </w:r>
    </w:p>
    <w:p>
      <w:r>
        <w:t>Abschliessend ist daran zu erinnern, dass vorliegend die medizinische Folgen abschätzung im Fokus steht, die notgedrungen eine hohe Variabilität aufweist und unausweichlich Ermessenszüge trägt. Zwischen ärztlich gestellter Diagnose und Arbeitsunfähigkeit besteht – sowohl bei somatisch als auch bei psychisch dominierten Leiden – nämlich keine unmittelbare Korrelation (vgl. BGE 140 V 193 E. 3.1). Massgebend sind vielmehr die konkreten funktionellen Auswirkungen auf das Leistungsvermögen der betroffenen Person (vgl. Urteil des Bundesgerichts 9C_570/2018 vom 18. Februar 2019 E. 3.2.1), wie von den Behandlern der Z.___ denn auch eingeräumt wird (Urk. 3/4 Ziff. 1). Nachdem deren Berichte bezie hungsweise Stellungnahmen die einleuchtende Schlussfolgerung der Gutachter nicht zu schmälern vermögen, erweist sich der Sachverhalt als genügend abge klärt und ist der Beurteilung des Leistungsanspruchs das bidisziplinäre Gutachten vom 15. Juni 2023 zugrunde zu legen. Damit besteht bei der Beschwerdeführerin unter Berücksichtigung des rheumatologischen Belastbarkeitsprofils in angepass ten Tätigkeiten eine Arbeitsfähigkeit von 85 % (E. 3.4).</w:t>
      </w:r>
    </w:p>
    <w:p>
      <w:r>
        <w:rPr>
          <w:b/>
        </w:rPr>
        <w:t>E. 5.1</w:t>
      </w:r>
    </w:p>
    <w:p>
      <w:r>
        <w:t>Es bleibt abzuklären, wie sich die solchermassen reduzierte Leistungsfähigkeit der Beschwerdeführerin auf ihre Erwerbsfähigkeit auswirkt.</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 gebend sind die Verhältnisse, wie sie sich bis zum Erlass der Verwaltungs verfügung entwickelt haben, wobei für die hypothetische Annahme einer im Gesundheitsfall ausgeübten (Teil-)Erwerbstätigkeit der im Sozialversicherungs 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8C_674/2022 vom 15. Mai 2023 E. 3.2 mit Hinweisen).</w:t>
      </w:r>
    </w:p>
    <w:p>
      <w:r>
        <w:t>Ob die Beschwerdeführerin, wie die Beschwerdegegnerin annahm (Urk. 7/59/1), als voll erwerbstätig zu qualifizieren oder ob auch ein Aufgabenbereich zu berücksichtigen wäre, kann dahingestellt bleiben, da auch unter der Annahme, die Beschwerdeführerin wäre im Gesundheitsfall in einem Pensum von 100 % tätig, kein rentenbegründender Invaliditätsgrad resultierte (vgl. nachfolgend).</w:t>
      </w:r>
    </w:p>
    <w:p>
      <w:r>
        <w:rPr>
          <w:b/>
        </w:rPr>
        <w:t>E.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 vergleich hat in der Regel in der Weise zu erfolgen, dass die beiden hypothe ti schen Erwerbseinkommen ziffernmässig möglichst genau ermittelt und einander gegenübergestellt werden, worauf sich aus der Einkommensdifferenz der Invali ditätsgrad bestimmen lässt (sog. allgemeine Methode des Einkommensvergleichs; BGE 130 V 343 E. 3.4.2, 128 V 29 E. 1).</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8C_358/2017 vom 4. August 2017 E. 2.2 mit weiteren Hinweisen, bestätigt in Urteil 8C_213/2022 vom 4. August 2022 E. 4.6.1).</w:t>
      </w:r>
    </w:p>
    <w:p>
      <w:r>
        <w:rPr>
          <w:b/>
        </w:rPr>
        <w:t>E. 5.3</w:t>
      </w:r>
    </w:p>
    <w:p>
      <w:r>
        <w:t>Die Beschwerdeführerin besitzt keine in der Schweiz anerkannte Ausbildung (Urk. 7/6/5) und war stets im Service tätig (Urk. 7/2). Da sie keiner Beschäftigung nachgeht und damit ihre Restarbeitsfähigkeit nicht ausschöpft, hat die Beschwer degegnerin sowohl Validen- als auch Invalideneinkommen gestützt auf Tabellen löhne ermittelt, wobei sie für beide Vergleichseinkommen auf den Tabellenwert für Hilfskräfte der LSE 2020 abstellte (Urk. 7/58; Bundesamt für Statistik, LSE 2020, TA1, Total, Frauen, Niveau 1, monatlicher Bruttolohn [Zentralwert] Fr.</w:t>
      </w:r>
    </w:p>
    <w:p>
      <w:r>
        <w:t>4'276.--). Dieses Vorgehen ist ebenso wenig zu bemängeln wie der Umstand, dass die Beschwerdegegnerin keinen Abzug vom Invalideneinkommen gewährt hat. Anhaltspunkte dafür, dass die Beschwerdeführerin ihre Arbeitsfähigkeit auf dem Arbeitsmarkt bloss unterdurchschnittlich verwerten könnte, sind nicht aktenkundig. Insbesondere dürfen Beschwerden, welche bereits beim Anforde rungsprofil respektive bei der Beurteilung der medizinischen Arbeitsfähigkeit Berücksichtigung gefunden haben, nicht erneut als leistungsmindernd einfliessen und so zu einer doppelten Anrechnung desselben Gesichtspunkts führen (BGE 146 V 16 E. 4.1). Nachdem eine Arbeitsunfähigkeit von 15 % den Einschränkun gen einer leichtgradigen depressiven Episode hinreichend Rechnung trägt und eine Teilzeittätigkeit von 85 % bei Frauen ohne Kaderfunktion höher entlöhnt wird als eine Vollzeitbeschäftigung (vgl. LSE 2020, T18, monatlicher Bruttolohn [Zentralwert] nach Beschäftigungsgrad, privater und öffentlicher Sektor zusam men, Schweiz 2020), liesse sich ein Abzug nicht rechtfertigen. Selbst wenn aber mit Blick auf die per 1. Januar 2024 geänderte Rechtslage (vgl. Art. 26 bis Abs. 3 IVV) ein solcher von 10 % gewährt würde, resultierte - auch unter der Annahme, die Beschwerdeführerin wäre im Gesundheitsfall in einem Pensum von 100 % tätig (vgl. E. 5.1) - kein rentenbegründender Invaliditätsgrad ( Valideneinkommen = 100, Invalideneinkommen = 76.5; IV-Grad = 23.5 %). Weiterungen zur Status frage können damit unterbleiben.</w:t>
      </w:r>
    </w:p>
    <w:p>
      <w:r>
        <w:rPr>
          <w:b/>
        </w:rPr>
        <w:t>E. 6</w:t>
      </w:r>
    </w:p>
    <w:p>
      <w:r>
        <w:t>Diese Erwägungen führen zur Abweisung der Beschwerde.</w:t>
      </w:r>
    </w:p>
    <w:p>
      <w:r>
        <w:rPr>
          <w:b/>
        </w:rPr>
        <w:t>E. 7.1</w:t>
      </w:r>
    </w:p>
    <w:p>
      <w:r>
        <w:t>Die Beschwerdeführerin beantragte die Gewährung der unentgeltlichen Prozess führung (Urk. 1 S. 2).</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BV; BGE 135 I 1 E. 7.1; Urteil des Bundesgerichts 9C_686/2020 vom 11. Januar 2021 E. 1).</w:t>
      </w:r>
    </w:p>
    <w:p>
      <w:r>
        <w:t>Die Bedürftigkeit ist ausgewiesen (Urk. 3/3). Nachdem der Prozess nicht als aussichtslos bezeichnet werden kann, ist der Beschwerdeführerin die unentgelt liche Prozessführung zu bewilligen.</w:t>
      </w:r>
    </w:p>
    <w:p>
      <w:r>
        <w:rPr>
          <w:b/>
        </w:rPr>
        <w:t>E. 7.2</w:t>
      </w:r>
    </w:p>
    <w:p>
      <w:r>
        <w:t>Die Kosten des Verfahrens sind auf Fr. 600.-- festzulegen und ausgangsgemäss der Beschwerdeführerin aufzuerlegen (Art. 69 Abs. 1 bis IVG), zufolge Gewährung der unentgeltlichen Prozessführung jedoch einstweilen auf die Gerichtskasse zu nehmen.</w:t>
      </w:r>
    </w:p>
    <w:p>
      <w:r>
        <w:rPr>
          <w:b/>
        </w:rPr>
        <w:t>E. 7.3</w:t>
      </w:r>
    </w:p>
    <w:p>
      <w:r>
        <w:t>Die Beschwerdeführerin wird auf § 16 Abs. 4 des Gesetzes über das Sozial versi cherungsgericht hingewiesen, wonach sie zur Nachzahlung der ihr erlassenen Gerichtskosten verpflichtet ist, sobald sie dazu in der Lage ist. Das Gericht beschliesst: In Bewilligung des Gesuches vom 5. Januar 2024 wird der Beschwerdeführerin die un entgeltliche Prozessführung bewilligt , und erkennt: 1.</w:t>
      </w:r>
    </w:p>
    <w:p>
      <w:r>
        <w:t>Die Beschwerde wird abgewiesen. 2.</w:t>
      </w:r>
    </w:p>
    <w:p>
      <w:r>
        <w:t>Die Gerichtskosten von Fr. 600 .-- werden der Beschwerdeführerin auferlegt, zufolge Gewährung der unentgeltlichen Prozessführung jedoch einstweilen auf die Gerichts kasse genommen. Die Beschwerdeführerin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