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IV.2023.00686 vom 12. März 2025</w:t>
      </w:r>
    </w:p>
    <w:p>
      <w:r>
        <w:t>ZH Sozialversicherungsgericht, 2025-03-12, DE</w:t>
      </w:r>
    </w:p>
    <w:p>
      <w:r>
        <w:rPr>
          <w:b/>
        </w:rPr>
        <w:t xml:space="preserve">Quelle: </w:t>
      </w:r>
      <w:r>
        <w:t>https://mcp.opencaselaw.ch/entscheid/zh_sozialversicherungsgericht_IV.2023.00686</w:t>
      </w:r>
    </w:p>
    <w:p>
      <w:r>
        <w:t>FR: ZH_SOZIALVERSICHERUNGSGERICHT IV.2023.00686 du 12 mars 2025</w:t>
      </w:r>
    </w:p>
    <w:p>
      <w:r>
        <w:t>IT: ZH_SOZIALVERSICHERUNGSGERICHT IV.2023.00686 del 12 marzo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1968, verfügt über keine Berufsausbildung und arbeitete zuletzt als Chauffeur und Monteur für die Y.___ AG, bevor er sich im März 2001 unter Hinweis auf psychische Beeinträchtigungen bei der Invalidenversicherung zum Leistungsbezug anmeldete ( Urk. 6/1, Urk.</w:t>
      </w:r>
    </w:p>
    <w:p>
      <w:r>
        <w:rPr>
          <w:b/>
        </w:rPr>
        <w:t>E. 6</w:t>
      </w:r>
    </w:p>
    <w:p>
      <w:r>
        <w:t>/ 5- 6, Urk.</w:t>
      </w:r>
    </w:p>
    <w:p>
      <w:r>
        <w:t>6/ 8). Gestützt auf die ärztlichen Abklärungen ( Urk. 6/9-12) sprach die Sozialversicherungsanstalt des Kantons Zürich, IV-Stelle, dem Versicherten mit Verfügung vom 2 5. Juni 2001 mit Wirkung ab Juni 2001 eine ganze Rente zu (Invaliditätsgrad von 100 % ; Urk. 6/17). 1. 2. 1.2.1</w:t>
      </w:r>
    </w:p>
    <w:p>
      <w:r>
        <w:t>I m Mai 2002 leitete die IV-Stelle die Überprüfung des Rentenanspruchs des zwischenzeitlich im Ausland ( Z.___ ; vgl. Urk. 6/24) lebenden Versicherten ein ( Urk. 6/23) und setzte nach getätigten Abklärungen mit Verfügung 24.</w:t>
      </w:r>
    </w:p>
    <w:p>
      <w:r>
        <w:t>Mai 2007 die bisherige ganze Rente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