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IV.2023.00645 vom 13. September 2024</w:t>
      </w:r>
    </w:p>
    <w:p>
      <w:r>
        <w:t>ZH Sozialversicherungsgericht, 2024-09-13, DE</w:t>
      </w:r>
    </w:p>
    <w:p>
      <w:r>
        <w:rPr>
          <w:b/>
        </w:rPr>
        <w:t xml:space="preserve">Quelle: </w:t>
      </w:r>
      <w:r>
        <w:t>https://mcp.opencaselaw.ch/entscheid/zh_sozialversicherungsgericht_IV.2023.00645</w:t>
      </w:r>
    </w:p>
    <w:p>
      <w:r>
        <w:t>FR: ZH_SOZIALVERSICHERUNGSGERICHT IV.2023.00645 du 13 septembre 2024</w:t>
      </w:r>
    </w:p>
    <w:p>
      <w:r>
        <w:t>IT: ZH_SOZIALVERSICHERUNGSGERICHT IV.2023.00645 del 13 settembre 2024</w:t>
      </w:r>
    </w:p>
    <w:p>
      <w:pPr>
        <w:pStyle w:val="Heading2"/>
      </w:pPr>
      <w:r>
        <w:t>Erwägungen</w:t>
      </w:r>
    </w:p>
    <w:p>
      <w:r>
        <w:rPr>
          <w:b/>
        </w:rPr>
        <w:t>E. 6</w:t>
      </w:r>
    </w:p>
    <w:p>
      <w:r>
        <w:t>5</w:t>
      </w:r>
    </w:p>
    <w:p>
      <w:r>
        <w:t>Die vom Beschwerdeführer angeführten Faktoren sind – soweit im angestammten Kompetenzniveau 1 überhaupt relevant –</w:t>
      </w:r>
    </w:p>
    <w:p>
      <w:r>
        <w:t>zu geringfügig, um in ihrer Gesamtheit das Spektrum an möglichen Hilfstätigen derart einzuschränken, dass eine Verwertbarkeit der Restarbeitsfähigkeit ausser Betracht fallen würde.</w:t>
      </w:r>
    </w:p>
    <w:p>
      <w:r>
        <w:rPr>
          <w:b/>
        </w:rPr>
        <w:t>E. 7</w:t>
      </w:r>
    </w:p>
    <w:p>
      <w:r>
        <w:t>4</w:t>
      </w:r>
    </w:p>
    <w:p>
      <w:r>
        <w:t>Gemäss Gutachten kann der Beschwerdeführer seine Restarbeitsfähigkeit von 80</w:t>
      </w:r>
    </w:p>
    <w:p>
      <w:r>
        <w:t>% im Autohandel verwerten, womit er</w:t>
      </w:r>
    </w:p>
    <w:p>
      <w:r>
        <w:t>zweifellos ein rentenausschliessendes Einkommen erzielen kann und zwar unabhängig davon, ob für die Bestimmung des Invalideneinkommens der Lohn aus seiner letzten Anstellung hochgerechnet oder aber der soeben genannte Zentralwert herangezogen wird .</w:t>
      </w:r>
    </w:p>
    <w:p>
      <w:r>
        <w:t>Nichts anderes würde gelten , würde mit dem Behandler davon ausgegangen, die bisherige Tätigkeit sei körperlich streng und zur Berechnung des Invalidenein kommens</w:t>
      </w:r>
    </w:p>
    <w:p>
      <w:r>
        <w:t>ein breiteres Spektrum an zumutbaren Hilfstätigkeiten in Betracht gezogen . Basierend auf dem Tabellenlohn gemäss LSE 2020, TA1_tirage_skill_level, Total im Kompetenzniveau 1 , Männer von Fr.</w:t>
      </w:r>
    </w:p>
    <w:p>
      <w:r>
        <w:t>5'261. -- ergibt sich für das zumutbare 80%-Pensum ein Jahreseinkommen von Fr. 52'652.-- ( Fr. 5'261 . -- : 40 x 41.7 x 12 x 0.8) . Unter Berücksichtigung eines nach der jüngsten Rechtsprechung des Bundesgerichts (vgl. Urteil des Bundes gerichts 8C_823/2023 vom 8. Juli 2024 E. 10.6 [zur Publikation vorgesehen ]) zumindest bis Ende 2023 weiterhin maximal zulässigen (hier nicht gerechtfertig ten) leidensbedingten Abzugs von 25 % würde ein Invalideneinkommen von Fr. 39'489. -- resultieren ( Fr. 52 ' 652 .-- x 0.75) , dem im günstig st en Fall ein</w:t>
      </w:r>
    </w:p>
    <w:p>
      <w:r>
        <w:t>Valideneinkommen von Fr. 60 ' 278 . -- gegenüberzustellen wäre . Eine Lohneinbusse von Fr. 20 ' 789 . -- würde zu einem nicht renten begründenden</w:t>
      </w:r>
    </w:p>
    <w:p>
      <w:r>
        <w:t>Invaliditätsgrad von</w:t>
      </w:r>
    </w:p>
    <w:p>
      <w:r>
        <w:t>rund 34</w:t>
      </w:r>
    </w:p>
    <w:p>
      <w:r>
        <w:t>% ( Fr. 20'789.-- x 100 :</w:t>
      </w:r>
    </w:p>
    <w:p>
      <w:r>
        <w:t>Fr. 60'278.-- ) führen .</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Dabei sind im Regelfall die beiden hypothetischen Erwerbseinkommen ziffernmässig möglichst genau zu ermittel n und einander gegenüberzustellen , worauf sich aus der Einkommens differenz der Invaliditätsgrad bestimmen lässt (sog. allgemeine Methode des Einkommensvergleichs; BGE 130 V 343 E. 3.4.2, 128 V 29 E. 1).</w:t>
      </w:r>
    </w:p>
    <w:p>
      <w:r>
        <w:t>Als Erwerbseinkommen im Sinne von Art . 16 ATSG gelten gemäss Art. 25 Abs. 1 der Verordnung über die Invalidenversicherung (IVV) mutmassliche jährliche Erwerbseinkommen, von denen Beiträge nach AHVG erhoben würden – mit hier nicht weiter interessierenden Ausnahmen .</w:t>
      </w:r>
    </w:p>
    <w:p>
      <w:r>
        <w:t>Die Vergleichseinkommen sind in Bezug auf den gleichen Zeitraum festzusetzen und richten sich nach dem Arbeits markt in der Schweiz ( vgl. Art. 25 Abs. 2 IVV).</w:t>
      </w:r>
    </w:p>
    <w:p>
      <w:r>
        <w:t>Soweit für ihre Bestimmung statistische Werte herangezogen werden, sind im Regelfall die Zentralwerte der Lohnstrukturerhebung (LSE) des Bundesamtes für Statistik massgebend. Es sind altersunabhängige und geschlechtsspezifische Werte zu verwenden ( vgl. Art. 25 Abs. 3 IVV). Die statistischen Werte nach Absatz 3 sind an die betriebsübliche Arbeitszeit nach Wirtschaftsabteilungen und an die Nominallohnentwicklung anzupassen (Art. 25 Abs. 4 IVV).</w:t>
      </w:r>
    </w:p>
    <w:p>
      <w:r>
        <w:rPr>
          <w:b/>
        </w:rPr>
        <w:t>E. 8</w:t>
      </w:r>
    </w:p>
    <w:p>
      <w:r>
        <w:t>Nach dem Ausgeführten hat die Beschwerdegegnerin einen Rentenanspruch des Beschwerdeführers zu Recht verneint . Dies führt zur Abweisung der Beschwerde.</w:t>
      </w:r>
    </w:p>
    <w:p>
      <w:r>
        <w:t>Es bleibt anzumerken, dass gemäss Gutachten mit einer Re-Begutachtung geprüft werden soll, ob die Arbeitsfähigkeit bei adäquate r Therapie steigerbar ist . Da indessen bereits der bisherige Gesundheitszustand die Erzielung eines rentenaus schliessenden Einkommens erlaubt und keine Verschlechterung des Zustands zwischen Begutachtung und</w:t>
      </w:r>
    </w:p>
    <w:p>
      <w:r>
        <w:t>Verfügungserlass</w:t>
      </w:r>
    </w:p>
    <w:p>
      <w:r>
        <w:t>zur Diskussion steht , erweist sich eine solche für die Beurteilung des Rentenanspruchs als entbehrlich bzw. als unzulässige second</w:t>
      </w:r>
    </w:p>
    <w:p>
      <w:r>
        <w:t>opinion (vgl. Urteil des Bundesgerichts 8C_60/2023, 8C_70/2023 vom 1 4. Juli 2023 E.</w:t>
      </w:r>
    </w:p>
    <w:p>
      <w:r>
        <w:t>6.1). Es ist daher nicht zu beanstanden, dass die Beschwerdegegneri n bei beweiskräftigem psychiatrischen Teilgutachten eine Re-Begutachtung ablehnte (vgl. Urk. 2 S. 2).</w:t>
      </w:r>
    </w:p>
    <w:p>
      <w:r>
        <w:rPr>
          <w:b/>
        </w:rPr>
        <w:t>E. 9.1</w:t>
      </w:r>
    </w:p>
    <w:p>
      <w:r>
        <w:t>Da der Beschwerdeführer Sozialhilfe bezieht (vgl. Urk. 3 ), ist von Mittelosigkeit auszugehen. Er verfügt nach eigenen Angaben zudem nicht über eine Rechts schutzversicherung (vgl. Urk. 1 S. 2 unten). Sein Begehren kann trotz Abweisung der Beschwerde nicht als von Prozessbeginn an klar aussichtslos bezeichnet werden. Damit sind die Voraussetzungen nach § 16 Abs. 1 des Gesetzes über das Sozialversicherungsgericht ( GSVGer ) erfüllt und dem Beschwerdeführer ist entsprechend seinem Gesuch vom 30. November 2023 (Urk. 1) die unentgeltliche Prozessführung zu gewähren.</w:t>
      </w:r>
    </w:p>
    <w:p>
      <w:r>
        <w:rPr>
          <w:b/>
        </w:rPr>
        <w:t>E. 9.2</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dem unterliegenden Beschwerdeführer aufzuerlegen.</w:t>
      </w:r>
    </w:p>
    <w:p>
      <w:r>
        <w:t>Infolge der ihm gewährten unentgeltlichen Prozessführung sind die Kosten einstweilen auf die Gerichtskasse zu nehmen. Der Beschwerdeführer ist zur Nachzahlung verpflichtet, sobald er dazu in der Lage ist (§ 16 Abs. 4 GSVGer ). Das Gericht beschliesst: Dem Beschwerdeführer wird die unentgeltliche Prozessführung bewilligt ,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