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IV.2023.00633 vom 16. Mai 2024</w:t>
      </w:r>
    </w:p>
    <w:p>
      <w:r>
        <w:t>ZH Sozialversicherungsgericht, 2024-05-16, DE</w:t>
      </w:r>
    </w:p>
    <w:p>
      <w:r>
        <w:rPr>
          <w:b/>
        </w:rPr>
        <w:t xml:space="preserve">Quelle: </w:t>
      </w:r>
      <w:r>
        <w:t>https://mcp.opencaselaw.ch/entscheid/zh_sozialversicherungsgericht_IV.2023.00633</w:t>
      </w:r>
    </w:p>
    <w:p>
      <w:r>
        <w:t>FR: ZH_SOZIALVERSICHERUNGSGERICHT IV.2023.00633 du 16 mai 2024</w:t>
      </w:r>
    </w:p>
    <w:p>
      <w:r>
        <w:t>IT: ZH_SOZIALVERSICHERUNGSGERICHT IV.2023.00633 del 16 maggio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1967,</w:t>
      </w:r>
    </w:p>
    <w:p>
      <w:r>
        <w:t>war seit dem 1. Juli 2005 bei der Z.___ als LKW-Chauffeur tätig (Urk. 7/16 Ziff. 2.1</w:t>
      </w:r>
    </w:p>
    <w:p>
      <w:r>
        <w:t>und Ziff. 2.7), als er sich am</w:t>
      </w:r>
    </w:p>
    <w:p>
      <w:r>
        <w:rPr>
          <w:b/>
        </w:rPr>
        <w:t>E. 3</w:t>
      </w:r>
    </w:p>
    <w:p>
      <w:r>
        <w:t>. November 20 17</w:t>
      </w:r>
    </w:p>
    <w:p>
      <w:r>
        <w:t>unter Hinweis auf seit Juni 2017 bestehende starke Schmerzen am Arm respektive am Ellbogen bei der Invalidenversicherung zum Leistungsbezug an meldete (Urk. 7/ 2 Ziff. 6.1). Die Sozialversicherungsanstalt des Kantons Zürich, IV-Stelle, klärte die medizinische und erwerbliche Situation ab und zog die Akten de s</w:t>
      </w:r>
    </w:p>
    <w:p>
      <w:r>
        <w:t>Unfallversicherers S WICA bei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