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IV.2023.00426 vom 20. November 2023</w:t>
      </w:r>
    </w:p>
    <w:p>
      <w:r>
        <w:t>ZH Sozialversicherungsgericht, 2023-11-20, DE</w:t>
      </w:r>
    </w:p>
    <w:p>
      <w:r>
        <w:rPr>
          <w:b/>
        </w:rPr>
        <w:t xml:space="preserve">Quelle: </w:t>
      </w:r>
      <w:r>
        <w:t>https://mcp.opencaselaw.ch/entscheid/zh_sozialversicherungsgericht_IV.2023.00426</w:t>
      </w:r>
    </w:p>
    <w:p>
      <w:r>
        <w:t>FR: ZH_SOZIALVERSICHERUNGSGERICHT IV.2023.00426 du 20 novembre 2023</w:t>
      </w:r>
    </w:p>
    <w:p>
      <w:r>
        <w:t>IT: ZH_SOZIALVERSICHERUNGSGERICHT IV.2023.00426 del 20 novembre 2023</w:t>
      </w:r>
    </w:p>
    <w:p>
      <w:pPr>
        <w:pStyle w:val="Heading2"/>
      </w:pPr>
      <w:r>
        <w:t>Erwägungen</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Vorbescheids mit. Die versicherte Person hat Anspruch auf rechtliches Gehör im Sinne von Art. 42 des Bundesgesetzes über den Allgemeinen Teil des Sozialversicherungsrechts (ATSG).</w:t>
      </w:r>
    </w:p>
    <w:p>
      <w:r>
        <w:t>Die Parteien können innerhalb einer Frist von 30 Tagen bei der IV-Stelle münd lich oder schriftlich Einwände zum Vorbescheid vorbringen (Art. 73 ter Abs. 1 und Abs. 2 Satz 1 der Verordnung über die Invalidenversicherung, IVV). Hernach entscheidet die IV-Stelle mittels Verfügung, wobei sie sich darin mit den für den Beschluss relevanten Einwänden der Parteien auseinanderzusetzen hat (Art. 74 Abs. 1 und 2 IVV).</w:t>
      </w:r>
    </w:p>
    <w:p>
      <w:r>
        <w:rPr>
          <w:b/>
        </w:rPr>
        <w:t>E. 1.2</w:t>
      </w:r>
    </w:p>
    <w:p>
      <w:r>
        <w:t>Der Sinn und Zweck des Vorbescheidverfahrens besteht darin, die Akzeptanz des Entscheids bei den Versicherten zu verbessern (BGE 134 V 97 E. 2.7).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 entscheidwesentlichen ) Einwänden auseinanderzusetzen, oder aber zumindest die Gründe anzugeben, weshalb sie gewisse Gesichtspunkte nicht berücksichtigen kann (BGE 124 V 181 E. 2b). Das Vorbescheidverfahren geht über den verfassungsrechtlichen Mindestanspruch auf rechtliches Gehör ( Art. 29 Abs.</w:t>
      </w:r>
    </w:p>
    <w:p>
      <w:r>
        <w:rPr>
          <w:b/>
        </w:rPr>
        <w:t>E. 1.3</w:t>
      </w:r>
    </w:p>
    <w:p>
      <w:r>
        <w:t>Am 2. Mai 2014 meldete sich die Versicherte erneut zum Leistungsbezug an (Urk. 7 /87). In der Folge zog d ie IV-Stelle</w:t>
      </w:r>
    </w:p>
    <w:p>
      <w:r>
        <w:t>die Akten des Krankentaggeld versiche rer s bei und holte diverse Arztberichte ein. Mit Schreiben vom 8. Januar 2015 auferlegte sie der Versicherten eine Schadenminderungspflicht (Durchführung einer psychiatrischen Behandlung, Urk. 7 /120). Gleichentags erliess die IV-Stelle den Vorbescheid, in welchem sie einen invalidisierenden Gesundheitsschaden verneinte (Urk. 7 /121). An dieser Einschätzung hielt sie mit Verfügung vom 15. Juni 2016 fest (Urk. 7 /155 ). Die dagegen erhobene Beschwerde hiess das hiesige Gericht mit Urteil vom 2 2. März 2018 in dem Sinne gut, dass es die Sache zur Durchführung weiterer Abklärungen in medizinischer und erwerblicher Hinsicht an die IV-Stelle zurückwies ( Urk. 7/161).</w:t>
      </w:r>
    </w:p>
    <w:p>
      <w:r>
        <w:rPr>
          <w:b/>
        </w:rPr>
        <w:t>E. 1.4</w:t>
      </w:r>
    </w:p>
    <w:p>
      <w:r>
        <w:t>In der Folge liess diese die Versicherte polydisziplinär abklären ( Y.___ -Gutachten vom 8. Juli 2019, Urk. 7/189); die Abklärung der beeinträchtigten Arbeitsfähig keit in Beruf und Haushalt erfolgte am 3 0. September 2019 (Haushaltsbericht vom 4. Oktober 2019, Urk. 7/195). Mit Vorbescheid vom 1 4. Dezember 2020 stellte die IV-Stelle der Versicherten die Abweisung des Rentenbegehrens in Aussicht ( Urk. 7/200). Im Zuge des Einwandverfahrens wurde seitens des RAD am 1 6. März 2022 entschieden , ein Verlaufsgutachten einzuholen ( Urk. 7/232 S. 6) ; das einge holte Y.___ -Gutachten datiert vom 1 1. April 2023 (Urk. 7/225). Mit Schreiben vom 1 4. Juni 2023 nahm die Vertreterin der Versicherten zum Verlaufsgutachten Stellung ( Urk. 7/228). Mit Verfügung vom 2 8. Juni 2023 wies die IV-Stelle das Rentenbegehren ab (Urk. 7/233 = Urk. 2). Das Gericht zieht in Erwägung:</w:t>
      </w:r>
    </w:p>
    <w:p>
      <w:r>
        <w:rPr>
          <w:b/>
        </w:rPr>
        <w:t>E. 2</w:t>
      </w:r>
    </w:p>
    <w:p>
      <w:r>
        <w:t>8. Juni 2023 deshalb aus formellen Gründen aufzuheben und es ist die Sache zur Durch führung des Vorbescheidverfahrens an die Beschwerdegegnerin zurückzuweisen. Bei dieser Gelegenheit ist der Sachverhalt auch bezüglich der Einschränkungen im Bereich Haushalt unter Berücksichtigung des Verlaufsgutachtens zu ergänzen.</w:t>
      </w:r>
    </w:p>
    <w:p>
      <w:r>
        <w:rPr>
          <w:b/>
        </w:rPr>
        <w:t>E. 2.1</w:t>
      </w:r>
    </w:p>
    <w:p>
      <w:r>
        <w:t>Entsprechend der zitierten Rechtsprechung führt die Durchführung von weiteren Abklärungen im Vorbescheidverfahren nicht zwingend dazu, dass ein neuer Vor bescheid zu erlassen ist; dies hängt vielmehr von den Umständen des Einzelfalles ab. Zu prüfen bleibt demnach zunächst , wie die nach Erlass des Vorbescheids vom 14. Dezember 2020 getätigten medizinischen Abklärungen im vorliegenden Fall zu würdigen sind.</w:t>
      </w:r>
    </w:p>
    <w:p>
      <w:r>
        <w:rPr>
          <w:b/>
        </w:rPr>
        <w:t>E. 2.2</w:t>
      </w:r>
    </w:p>
    <w:p>
      <w:r>
        <w:t>Die Beschwerdegegnerin verfasste ihren Vorbescheid vom 14. Dezember 2020 ( Urk. 7/200) im Anschluss an und gestützt auf das Y.___ -Gutachten vom 8. Juli 2019 ( Urk. 7/189) sowie d en Bericht zur Haushaltsabklärung vom 4. Oktober 2019 ( Urk. 7/195).</w:t>
      </w:r>
    </w:p>
    <w:p>
      <w:r>
        <w:t>Die für das Y.___ -Gutachten vom 8. Juli 2019 verantwortlichen Fachärzte gingen mit Auswirkung auf die Arbeitsfähigkeit von den folgenden Diagnosen aus (Urk. 7/189 S. 6) : - Periphere generalisierte Polyarthrosen - Chronisches zervikovertebrales Schmerzsyndrom - Valgus-Knick-Senkfussdeformität beider Füsse</w:t>
      </w:r>
    </w:p>
    <w:p>
      <w:r>
        <w:t>Sowohl in der angestammten als auch einer angepassten Tätigkeit sei von einer 70%igen Arbeitsfähigkeit auszugehen (S. 8).</w:t>
      </w:r>
    </w:p>
    <w:p>
      <w:r>
        <w:t>Im Rahmen der Haushaltsabklärung ermittelte die zuständige Fachperson im Haushaltsbereich eine Einschränkung von 30.3 % ( Urk. 7/195 S. 7).</w:t>
      </w:r>
    </w:p>
    <w:p>
      <w:r>
        <w:rPr>
          <w:b/>
        </w:rPr>
        <w:t>E. 2.3</w:t>
      </w:r>
    </w:p>
    <w:p>
      <w:r>
        <w:t>Die für das Y.___ -Gutachten vom 1 1. April 2023 verantwortlichen Fachärzte führten – ausgehend von einer im Wesentlichen unveränderten diagnostischen Einschätzung ( Urk. 7/225 S. 5 ff.) – aus, dass sowohl in der der angestammten als auch einer angepassten Tätigkeit neu von einer 60%igen Arbeitsfähigkeit auszugehen sei. Die Reduktion des Leistungsvermögens gegenüber der Einschätzung 2019 berücksichtige eine gewisse Beschwerdechronifizierung mit entsprechend irreversibler musku lo skelettaler Dekonditionierung</w:t>
      </w:r>
    </w:p>
    <w:p>
      <w:r>
        <w:t>bei weiterhin anzunehmendem diskret progredientem Verlauf der degenerativen Veränderun gen ( Urk. 7/225 S. 7).</w:t>
      </w:r>
    </w:p>
    <w:p>
      <w:r>
        <w:rPr>
          <w:b/>
        </w:rPr>
        <w:t>E. 2.4</w:t>
      </w:r>
    </w:p>
    <w:p>
      <w:r>
        <w:t>Allein aufgrund der Tatsache, dass eine erneute poly disziplinäre Abklärung für nötig erachtet wurde , ist von einer inhaltlich wesentlichen Sachverhaltsvervoll ständigung auszugehen, zumal die Beschwerdegegnerin aufgrund des neu eingeholten Gutachten s ab Dezember 2022 nunmehr lediglich noch von einer Arbeitsfähigkeit von 60 % aus ging . Im Rahmen des Vorbescheidverfahrens muss es einer versicherten Person möglich sein, sich nicht nur zur Sache, sondern auch zum vorgesehenen Entscheid selbst zu äussern. Dies war vorliegend nicht möglich , zumal sich bei einer Invaliditätsbemessung nach der gemischten Methode auch Fragen nach der Leistungsfähigkeit im Bereich Haushalt stellen. Diesbezüglich wies die Vertreterin der Beschwerdeführerin zu Recht darauf hin, dass die Einschränkung en im Haushaltsbereich nicht ergänzend abgeklärt worden sind ( Urk. 7/228 S. 4). So beruht die Haushaltsbericht vom 4. Oktober 2019 in medizinischer Hinsicht auf dem Y.___ -Gutachten vom 8. Juli 2019, welches noch von einer Arbeitsfähigkeit von 70 % ausging. Die nunmehr festgestellte weitere Einschränkung in der Leistungsfähigkeit dürfte sich dabei auch auf die Leistungs fähigkeit im Haushalt auswirken, zumindest sind diesbezüglich weitere Abklärungen nötig. Zum Verzicht der Beschwerdegegnerin auf eine aktualisierte, dem nunmehrigen Gesundheitszustand Rechnung tragende Haushaltsabklärung konnte die Beschwerdeführerin mangels Erlasses eines neuerlichen Vorbescheids erst in diesem Verfahren Stellung nehmen. Ihre diesbezüglichen</w:t>
      </w:r>
    </w:p>
    <w:p>
      <w:r>
        <w:t>Vorbringen betreffend Verschlechterung des Gesundheitszustandes des Ehemannes, welche sie mit eine m ärztlichen Zeugnis untermauerte ( Urk. 1 S. 14, Urk. 3), blieben von der Beschwerdegegnerin unkommentiert ( Urk. 6) . Mit Blick auf die im Haushalts bericht vom 4. Oktober 2019 in nicht unerheblicher Weise berücksichtigte Mit wirkungspflicht des Ehemannes ( Urk. 7/195/5-6) und die übrige Aktenlage sowie den von der Beschwerdegegnerin ermittelten Invaliditätsgrad ab Dezember 2022 von immerhin 38 % können diese Einwände der Beschwerdeführerin aber nicht zum vornherein als für den strittigen Rentenanspruch irrelevant und eine Rück weisung an die Beschwerdegegnerin als formalistischer Leerlauf betrachtet werden.</w:t>
      </w:r>
    </w:p>
    <w:p>
      <w:r>
        <w:rPr>
          <w:b/>
        </w:rPr>
        <w:t>E. 2.5</w:t>
      </w:r>
    </w:p>
    <w:p>
      <w:r>
        <w:t>Insgesamt hätte aufgrund des neuen polydisziplinären Gutachtens sowie der sich daraus ergebenden Reduktion d er Arbeitsfähigkeit und des Verzichts auf eine neuerliche Haushaltsabklärung ein neuer Vorbescheid ergehen müssen .</w:t>
      </w:r>
    </w:p>
    <w:p>
      <w:r>
        <w:t>Zusammengefasst ist die angefochtene Verfügung vom</w:t>
      </w:r>
    </w:p>
    <w:p>
      <w:r>
        <w:rPr>
          <w:b/>
        </w:rPr>
        <w:t>E. 3</w:t>
      </w:r>
    </w:p>
    <w:p>
      <w:r>
        <w:t>Die Beschwerdegegnerin wird verpflichtet, der Beschwerdeführerin eine Parteient schädigung von Fr. 2’300 .-- ( inklusive Barauslagen und Mehrwertsteuer ) zu bezahlen.</w:t>
      </w:r>
    </w:p>
    <w:p>
      <w:r>
        <w:rPr>
          <w:b/>
        </w:rPr>
        <w:t>E. 4</w:t>
      </w:r>
    </w:p>
    <w:p>
      <w:r>
        <w:t>Zustellung gegen Empfangsschein an: - Rechtsanwältin Aurelia Jenny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