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IV.2023.00392 vom 31. Mai 2024</w:t>
      </w:r>
    </w:p>
    <w:p>
      <w:r>
        <w:t>ZH Sozialversicherungsgericht, 2024-05-31, DE</w:t>
      </w:r>
    </w:p>
    <w:p>
      <w:r>
        <w:rPr>
          <w:b/>
        </w:rPr>
        <w:t xml:space="preserve">Quelle: </w:t>
      </w:r>
      <w:r>
        <w:t>https://mcp.opencaselaw.ch/entscheid/zh_sozialversicherungsgericht_IV.2023.00392</w:t>
      </w:r>
    </w:p>
    <w:p>
      <w:r>
        <w:t>FR: ZH_SOZIALVERSICHERUNGSGERICHT IV.2023.00392 du 31 mai 2024</w:t>
      </w:r>
    </w:p>
    <w:p>
      <w:r>
        <w:t>IT: ZH_SOZIALVERSICHERUNGSGERICHT IV.2023.00392 del 31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1965 geborene X.___ , gelernter Büroangestellter</w:t>
      </w:r>
    </w:p>
    <w:p>
      <w:r>
        <w:t>( Urk. 7/2) , arbeitet seit August 1992 bei der Y.___</w:t>
      </w:r>
    </w:p>
    <w:p>
      <w:r>
        <w:t>AG im Aussendienst ( Urk. 7/12). Am 27.</w:t>
      </w:r>
    </w:p>
    <w:p>
      <w:r>
        <w:t>Oktober 2016 begab er sich in stationäre psychiatrische Behandlung in die P sychiatrische</w:t>
      </w:r>
    </w:p>
    <w:p>
      <w:r>
        <w:t>Klinik Z.___ , wo eine schwere depressive Episode ohne psychotische Symptome, eine Spielsucht sowie psychische und Verhaltensstörungen durch Alkohol diagnostiziert wurden. Nach seiner Entlassung im März 2017 ( Urk. 7/ 10 , Urk. 7/16/ 12-14 ) mit fortgesetzter Arbeitsunfähigkeit zwischen 60 und 40 % ( Urk. 7/16/21 ff.) erlitt er am 2 2. Mai 2017 einen Herzinfarkt und war bis zum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