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IV.2023.00369 vom 20. Oktober 2023</w:t>
      </w:r>
    </w:p>
    <w:p>
      <w:r>
        <w:t>ZH Sozialversicherungsgericht, 2023-10-20, DE</w:t>
      </w:r>
    </w:p>
    <w:p>
      <w:r>
        <w:rPr>
          <w:b/>
        </w:rPr>
        <w:t xml:space="preserve">Quelle: </w:t>
      </w:r>
      <w:r>
        <w:t>https://mcp.opencaselaw.ch/entscheid/zh_sozialversicherungsgericht_IV.2023.00369</w:t>
      </w:r>
    </w:p>
    <w:p>
      <w:r>
        <w:t>FR: ZH_SOZIALVERSICHERUNGSGERICHT IV.2023.00369 du 20 octobre 2023</w:t>
      </w:r>
    </w:p>
    <w:p>
      <w:r>
        <w:t>IT: ZH_SOZIALVERSICHERUNGSGERICHT IV.2023.00369 del 20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Nach den allgemeinen Regeln des So zialversicherungsrechts hat der Versiche rungsträger den rechtserheblichen Sachverhalt abzu klären. Er ist nach dem in Art. 43 Abs. 1 ATSG statuierten Untersuchungsgrundsatz verpflichtet, die not wen digen Abklä rungen von Amtes wegen vorzunehmen. Dieser Grundsatz gilt indessen nicht uneingeschränkt; er findet sein Korrelat in den Mitwirkungs pflichten der Parteien (BGE 125 V 193 E. 2, 122 V 157 E. 1a, vgl. BGE 130 I 180 E. 3.2).</w:t>
      </w:r>
    </w:p>
    <w:p>
      <w:r>
        <w:t>Wer Versicherungs leistungen beansprucht, muss unentgeltlich alle Aus künfte erteilen, die zur Abklärung des Anspruchs, zur Festsetzung der Ver si cherungsleistungen und zur Durchsetzung des Regressanspruchs erforderlich sind (Art. 28 Abs. 2 ATSG). Kommen die versicherte Person oder andere Personen, die Leistungen beanspru chen, den Auskunfts- oder Mitwirkungspflichten in unent schuldbarer Weise nicht nach, so kann der Versicherungsträger auf Grund der Akten verfügen oder die Erhebungen einstellen und Nichteintreten beschliessen. Er muss diese Personen vorher schriftlich mahnen und auf die Rechtsfolgen hin weisen; ihnen ist eine angemessene Bedenkzei t einzuräumen (Art. 43 Abs. 3 ATSG).</w:t>
      </w:r>
    </w:p>
    <w:p>
      <w:r>
        <w:rPr>
          <w:b/>
        </w:rPr>
        <w:t>E. 1.5</w:t>
      </w:r>
    </w:p>
    <w:p>
      <w:r>
        <w:t>Gemäss Art. 6a Abs. 1 IVG ermächtigt die versicherte Person mit der Geltend machung des Leistungs an spruchs die in der Anmeldung erwähnten Personen und Stellen, den Organen der Invalidenversicherung alle Auskünfte zu erteilen und alle Unterlagen zur Ver fügung zu stellen, die für die Abklärung von Leistungs- und Regressansprüchen erforderlich sind. Diese Personen und Stellen sind zur Auskunft verpflichtet. 2.</w:t>
      </w:r>
    </w:p>
    <w:p>
      <w:r>
        <w:t>2.1</w:t>
      </w:r>
    </w:p>
    <w:p>
      <w:r>
        <w:t>Die Beschwerdegegnerin ging in der angefochtenen Verfügung (Urk. 2) davon aus, der Beschwerdeführer sei seiner Mitwirkungspflicht nicht nachgekommen, indem er auf das Schreiben vom 22. Dezember 2022, mit welchem ihm eine letzte Frist zur Zustellung des Arztberichts von Dr. B.___ oder zur Angabe des neuen Behandlers angesetzt worden sei, nicht reagiert habe. Da keine aktuel len Angaben vorlägen, könne sein Anspruch auf eine Invalidenrente nicht geprüft werden, weshalb das Leistungsgesuch abzuweisen sei. Der Beschwerdeführer habe jederzeit die Möglichkeit, ein neues schriftliches Gesuch einzureichen (S. 2 Mitte). 2.2</w:t>
      </w:r>
    </w:p>
    <w:p>
      <w:r>
        <w:t>Der Beschwerdeführer stellte sich demgegenüber auf den Standpunkt (Urk. 1), er habe sich während der ihm angesetzten Frist an seine aktuellen Behandler gewandt, die ihm versichert hätten, einen aktuellen medizinischen Bericht an die Beschwerdegegnerin geschickt zu haben. Die anschliessenden telefonischen Aus künfte der Beschwerdegegnerin hätten diesen Informationen widersprochen, wes wegen er eine Kopie des Arztberichts verlangt und die medizinischen Unterlagen selbst an d ie Beschwerdegegnerin geschickt habe. Angesichts dieser Tatsachen beantrage er die Rückweisung der Sache an die Beschwerdegegnerin zur erneuten Prüfung. 2.3</w:t>
      </w:r>
    </w:p>
    <w:p>
      <w:r>
        <w:t>Die Beschwerdegegnerin machte in der Beschwerdeantwort (Urk. 4) geltend, ent gegen den Ausführungen in der Beschwerde sei bis dato kein Arztbericht bei ihr eingegangen. Es sei nicht einmal bekannt, ob und bei wem der Beschwerdeführer aktuell in Behandlung sei. Ein invalidisierender Gesundheitsschaden sei so nicht nachzuweisen (S. 2 Ziff. 2). 2.4</w:t>
      </w:r>
    </w:p>
    <w:p>
      <w:r>
        <w:t>Strittig und zu prüfen ist der Rentenanspruch des Beschwerdeführers und dabei insbesondere, ob die Beschwerdegegnerin diesen zu Recht aufgrund einer Verlet zung der Mitwirkungspflicht verneint hat oder ob sie den Sachverhalt weiter hätte abklären müssen. 3.</w:t>
      </w:r>
    </w:p>
    <w:p>
      <w:r>
        <w:rPr>
          <w:b/>
        </w:rPr>
        <w:t>E. 3</w:t>
      </w:r>
    </w:p>
    <w:p>
      <w:r>
        <w:t>). Die Sozialversicherungs anstalt des Kantons Zürich, IV-Stelle, klärte die medizinische und erwerbliche Situation ab und zog Akten der Krankentaggeldversicherung bei (Urk. 5/9; Urk. 5/30; Urk. 5/53-57 ) .</w:t>
      </w:r>
    </w:p>
    <w:p>
      <w:r>
        <w:t>Die IV-Stelle erteilte am 11. März 2021 Kostengutsprache für ein Aufbautraining vom 30. März bis 24. September 2021 (Urk. 5/32) und am 8. September 2021 für einen Arbeitsversuch bei der Z.___</w:t>
      </w:r>
    </w:p>
    <w:p>
      <w:r>
        <w:t>AG in A.___</w:t>
      </w:r>
    </w:p>
    <w:p>
      <w:r>
        <w:t>(Urk. 5/39). Am 10. Januar 2022 teilte die IV-Stelle die vorzeitige Beendigung des Arbeitsversuch s per 5. Januar 2022 mit (Urk. 5/47).</w:t>
      </w:r>
    </w:p>
    <w:p>
      <w:r>
        <w:rPr>
          <w:b/>
        </w:rPr>
        <w:t>E. 3.1</w:t>
      </w:r>
    </w:p>
    <w:p>
      <w:r>
        <w:t>Dr. med. B.___ , Facharzt für Psychiatrie und Psychothera pie, nannte in seinem undatierten Bericht zuhanden der Krankentaggeld versicherung (Urk. 5/9/7-12 ; Eingang bei der Beschwerdegegnerin am 22. November 2019 [vgl. Aktenverzeichnis zu Urk. 5/9] ) als Strukturdiagnose eine kombinierte Persönlichkeitsstörung mit paranoiden, narzisstischen und dis sozialen Zügen (ICD-10 F61) und als Zusatzdiagnose eine schwere depressive Epi sode im Rahmen einer rezidivierenden depressiven Störung (F33.2; Ziff. 1 und 3). Zum aktuellen Zeitpunkt sei der Beschwerdeführer als 100 % arbeitsunfähig ein zustufen (Ziff. 1). Er arbeite seit 24. Juni 2019 nicht mehr (Ziff. 2) und befinde sich seit Juni 2019 in psychiatrischer Behandlung bei Dr. B.___ (Ziff. 5).</w:t>
      </w:r>
    </w:p>
    <w:p>
      <w:r>
        <w:rPr>
          <w:b/>
        </w:rPr>
        <w:t>E. 3.2</w:t>
      </w:r>
    </w:p>
    <w:p>
      <w:r>
        <w:t>Dr. med. C.___ , Fachärztin für Neurologie, führte am 2. Dezember 2019 eine verhaltensneurologisch-neuropsychologische Abklärung durch, worüber sie am 30. Dezember 2019 zuhanden der Krankentaggeldversicherung berichtete (Urk. 5/30/54-59). Sie hielt abschliessend fest, die normativ-krite rien/ressourcenorientierte Beurteilung der Arbeitsfähigkeit für die ausgeübte Tätigkeit als Kanalreiniger und für jede andere bildungsangepasste Tätigkeit im Rahmen der funktions- und ressourcenorientierten Perspektive ( Capacity ) ergebe aktuell medizinisch-theoretisch eine 100%ige Einschränkung des arbeitsbezoge nen Funktionspotenzials (S. 5 Mitte). Der Vorschlag zum Prozedere sehe einen zwingenden tagesklinischen Aufenthalt zur Verbesserung der Tagesstruktur vor (S. 5 unten).</w:t>
      </w:r>
    </w:p>
    <w:p>
      <w:r>
        <w:rPr>
          <w:b/>
        </w:rPr>
        <w:t>E. 3.3</w:t>
      </w:r>
    </w:p>
    <w:p>
      <w:r>
        <w:t>Dr. med. D.___ , Facharzt für Psychiatrie und Psychotherapie, beratender Fachpsychiater der Krankentaggeldversicherung, führte in seiner arbeitsprognos tischen Standortbestimmung vom 31. Dezember 2019 (Urk. 5/30/49-5 1 ) aus, es bestehe aus therapeutisch-rehabilitativen Gründen unveränderte eine volle Arbeitsunfähigkeit (S. 1 unten).</w:t>
      </w:r>
    </w:p>
    <w:p>
      <w:r>
        <w:rPr>
          <w:b/>
        </w:rPr>
        <w:t>E. 3.4</w:t>
      </w:r>
    </w:p>
    <w:p>
      <w:r>
        <w:t>MSc . E.___ , Psychotherapeut in der Praxis von Dr. B.___ (vgl. http:// «...» .ch/team/ , zuletzt abgerufen am 10. Oktober 2023), teilte der Sachbearbeiterin der Beschwerdegegnerin gemäss der entspre chenden Telefonnotiz (Urk. 5/17) am 3. August 2020 mit, dem Beschwerdeführer gehe es schon viel besser, er sei stabiler, zuverlässig betreffend Termine und Medikamenteneinnahme , und man fände eine Tagesklinik aktuell nicht mehr not wendig. 3. 5</w:t>
      </w:r>
    </w:p>
    <w:p>
      <w:r>
        <w:t>Dr. B.___ nannte in seinem Bericht vom 9. November 2020 zuhan den der Beschwerdegegnerin (Urk. 5/20) folgende Diagnosen (S. 5 Ziff. 2.5): - kombinierte Persönlichkeitsstörung mit narzisstischen, paranoiden und emotional-instabilen sowie dissozialen Zügen ( ICD-10 F61) - einfache Aktivitäts- und Aufmerksamkeitsstörung ( ICD-10 F90.0) - rezidivierende depressive Störung, gegenwärtig mittelgradige Episode ( ICD-10 F33.1)</w:t>
      </w:r>
    </w:p>
    <w:p>
      <w:r>
        <w:t>Der Beschwerdeführer sei in einem depressiven Zustand, dessen Schweregrad im Verlauf der aktuellen Behandlung von einer schweren auf eine leichte bis mittel gradige Depression habe reduziert werden können. Die Strukturdiagnose sei eine kombinierte Persönlichkeitsstörung. Die komplexe und mehrfache Überforderung in mehreren Lebensbereichen sei der Auslöser für affektive Störungen im Sinne einer schweren Depression gewesen , die vor dem Hintergrund der Persönlichkeits störung als eine Form der Dekompensation aufgetreten seien. Bei einem weiteren positiven Verlauf wäre es denkbar, dass der Beschwerdeführer eine angepasste Tätigkeit im Pensum von 20 % antreten könnte. Es werde ein Belastbarkeits training angeraten (S. 4 Ziff. 2.2). 3.</w:t>
      </w:r>
    </w:p>
    <w:p>
      <w:r>
        <w:rPr>
          <w:b/>
        </w:rPr>
        <w:t>E. 3.7</w:t>
      </w:r>
    </w:p>
    <w:p>
      <w:r>
        <w:t>Am 14. Januar 2022 erstellte die Fachperson der G.___ ihren Abschlussbericht über den Arbeitsversuch des Beschwerdeführers bei der Z.___ AG (Urk. 5/48). Diese r sei für den Zeitraum vom 15. September 2021 bis 13. März 2022 vorgese hen, jedoch per 14. Januar 2022 vorzeitig beendet worden (S. 1 Ziff. 3). Das Ziel der Pensumssteigerung von 50 auf 80 % habe nicht erreicht werden können. Der Beschwerdeführer habe während seines Arbeitsversuchs 50 % gearbeitet. Auf grund mehrerer Absenzen sei die Stabilisierung der Präsenz im Vordergrund gestanden, erst in einem weiteren Schritt hätte das Pensum gesteigert werden sollen. Hierzu sei es aufgrund der längeren Krankschreibung und der vorzeitigen Beendigung der Massnahme nicht gekommen (S. 1 Ziff. 4). Der Beschwerdeführer habe sich immer wieder aus psychischen Gründen krankgemeldet (S. 2 Ziff. 5). Ein Austausch zwischen dem Therapeuten E.___ und der Case Managerin habe während der Massnahme nicht stattgefunden . E.___ habe auf Kontakt versuche nicht reagiert und trotz vorheriger Zusage nicht am Abschluss gespräch teilgenommen (S. 2 Ziff. 6 Mitte). Im Gespräch mit der Beschwerdegeg nerin sei beschlossen worden, dass der Arbeitsversuch vorzeitig beendet werde. Da der Beschwerdeführer den Wunsch geäussert habe, wieder arbeiten gehen zu wollen, und eine 50%ige Arbeitsfähigkeit habe nachgewiesen werden können, werde er sich im nächsten Schritt selbständig auf Stellensuche begeben (S. 3 Ziff. 6). 4.</w:t>
      </w:r>
    </w:p>
    <w:p>
      <w:r>
        <w:rPr>
          <w:b/>
        </w:rPr>
        <w:t>E. 4</w:t>
      </w:r>
    </w:p>
    <w:p>
      <w:r>
        <w:t>) die Abweisung der Beschwerde. Dies wurde dem Beschwerdeführer am 24. August 2023 zur Kenntnis gebracht (Urk.</w:t>
      </w:r>
    </w:p>
    <w:p>
      <w:r>
        <w:rPr>
          <w:b/>
        </w:rPr>
        <w:t>E. 4.1</w:t>
      </w:r>
    </w:p>
    <w:p>
      <w:r>
        <w:t>Der Beschwerdeführer hat Dr. B.___ die erforderliche Ermächtigung im Sinne von Art. 6a Abs. 1 IVG erteilt (vgl. Urk. 5 /1 S. 7 Ziff. 6.3 ; E. 1.5). Alsdann hat die Beschwerdegegnerin Dr. B.___ wiederholt erfolglos aufgefor dert, ihr einen Verlaufsbericht zuzustellen (Sachverhalt E. 1.2) . Stimmiger Weise berichtete auch die Fachperson der G.___ , ein Austausch mit dem zuständigen Psychiater oder dessen Psychotherapeuten E.___ sei während de r Eingliederungs massnahmen nicht möglich gewesen, da auf Kontaktversuche nicht reagiert worden sei, wobei letzterer selbst am Abschlussgespräch trotz vor heriger Zusage nicht teilgenommen habe (E. 3.</w:t>
      </w:r>
    </w:p>
    <w:p>
      <w:r>
        <w:rPr>
          <w:b/>
        </w:rPr>
        <w:t>E. 4.2</w:t>
      </w:r>
    </w:p>
    <w:p>
      <w:r>
        <w:t>Mithin wurde die Abklärung des medizinischen Sachverhaltes durch die Säumnis von Dr. B.___ erschwert resp ektive verunmöglicht und war</w:t>
      </w:r>
    </w:p>
    <w:p>
      <w:r>
        <w:t>es nicht der Be schwerdeführer, welcher die Beschwerdegegne rin durch die Verletzung sei ner Mitwirkungs- und Auskunftspflicht</w:t>
      </w:r>
    </w:p>
    <w:p>
      <w:r>
        <w:t>dar an hinderte, den Leistungsanspruch abzuklären . Ein Aktenen tscheid kommt nach Art. 43 Abs. 3 ATSG indes nur in Frage, wenn die versicherte Person oder eine Person, die Leistungen beansp ru chen will, die ihr obliegende Mitwirku ngspflicht schuldhaft verletzt. Vorliegend kam Dr. B.___ seiner Pflicht zur Auskunftserteilung gemäss Art. 6a Abs . 1 IVG nicht nach. Für diese Pflichtverletzung hat der Gesetzgeber jedoch kein e Sanktion vorgesehen. Wird die Auskunftspflicht</w:t>
      </w:r>
    </w:p>
    <w:p>
      <w:r>
        <w:t>durch eine n Arzt nicht befolgt, kann dies insbesondere auch nicht zum Vorgehen führen, welches in Art. 43 Abs.</w:t>
      </w:r>
    </w:p>
    <w:p>
      <w:r>
        <w:t>3 ATSG festgelegt ist, mithin ist ein Aktenentscheid in einer derarti g en Konstel lation nicht zulässig (BGE 134 V 189 E. 3.1 ff.; Ueli Kieser, ATSG-Kommentar, 4. Aufl., Zürich/Basel/Genf 2020, N. 100 zu Art. 43 ATSG; BSK ATSG- Pärli /Kunz , N. 42 zu Art.</w:t>
      </w:r>
    </w:p>
    <w:p>
      <w:r>
        <w:t>28 ATSG ).</w:t>
      </w:r>
    </w:p>
    <w:p>
      <w:r>
        <w:rPr>
          <w:b/>
        </w:rPr>
        <w:t>E. 4.3</w:t>
      </w:r>
    </w:p>
    <w:p>
      <w:r>
        <w:t>Es war dem Beschwerdeführer denn auch gar nicht möglich, den Bericht einzu reichen, da dieser zuerst von Dr. B.___ selbst hätte erstellt werden</w:t>
      </w:r>
    </w:p>
    <w:p>
      <w:r>
        <w:t>müssen . Dem Beschwerdeführer darf es s omit nicht zum Nachteil gereichen, da ss von anderer Seite die ge wünschten Unterlagen nicht zur Verfügung gestellt wur den. Infolgedessen durfte die IV-Stelle das Leistungsbegehren nicht gestützt au f Art. 43 Abs. 3 ATSG ab weisen. In solchen Fällen ist vielmehr mittels sonstiger Abklärungsmass nah men anzustreben, den massgebenden Sachverhalt abzuklären (Kieser, a.a.O. , N. 100 zu Art. 43 ATSG , Pärli /Kunz, a.a.O. , N. 42 zu Art. 28 ATSG ). Namentlich hätte die Beschwerdegegnerin den medizinischen Sachverhalt mittels einer Untersuchung durch den regionalen ärztlichen Dienst (RAD) oder Einholung eines verwaltungsexternen Gutachtens abklären können. Derartige Bemühungen lassen sich den Akten jedoch nicht entnehmen (vgl. zum Ganzen auch Urteil des hiesigen Gerichts IV.2021.00039 vom 23. April 2021 E. 4).</w:t>
      </w:r>
    </w:p>
    <w:p>
      <w:r>
        <w:rPr>
          <w:b/>
        </w:rPr>
        <w:t>E. 4.4</w:t>
      </w:r>
    </w:p>
    <w:p>
      <w:r>
        <w:t>Dem Beschwerdeführer kann entgegen den Ausführungen der Beschwerde gegnerin auch nicht im Sinne einer Verletzung der Mitwirkungspflicht vorgehal ten werden, er habe dieser den aktuellen Behandler nicht angegeben (vgl. E. 2.3) . Denn sie hatte den Beschwerdeführer lediglich angemahnt, entweder einen aktu ellen Bericht von Dr. B.___ zuzustellen oder die Anschrift des neuen Behandlers anzugeben ( Sachverhalt E. 1.2). Unter der Annahme einer fortge setzten Behandlung durch Dr. B.___ war dem Beschwerdeführer weder ersteres noch letzteres möglich.</w:t>
      </w:r>
    </w:p>
    <w:p>
      <w:r>
        <w:t>So oder anders ergibt sich schliesslich aus den Akten, dass der Beschwerdeführer mindestens bis Ende 2021 noch vom Psychotherapeuten E.___ aus dem Hause von Dr. B.___ und nicht von einem anderen Behandler betreut wurde (vgl. E. 3.4, E. 3.7). Unabhängig davon, ob der Beschwerdeführer heute allenfalls an anderer Stelle behandelt wird, scheitern die von der Beschwerde gegnerin im Frühjahr 2022 angestrengten Abklärungen also nicht an der Angabe eines allfällig anderen Behandlers, sondern am Erhalt der Berichte der bisherigen Behandler.</w:t>
      </w:r>
    </w:p>
    <w:p>
      <w:r>
        <w:t>Nachdem sich der Beschwerdeführer bereits am 6. November 2019 bei der Beschwerdegegnerin zum Leistungsbezug angemeldet hatte (Urk. 5/1 ; Urk. 5/3 ) und eine Arbeitsunfähigkeit seit 24. Juni 2019 attestiert wurde ( E. 3.1; Urk. 5/9/27), ist ein Rentenanspruch grundsätzlich ab Juni 2020 zu prüfen (Art. 28 Abs. 1 lit . b IVG; Art. 29 Abs. 1 IVG). Ein Bericht von Dr. B.___ vom 9. November 2020 liegt vor (E. 3.5), womit eine Prüfung des Renten anspruchs zumindest für den Zeitraum von Juni bis November 2020 im Übrigen zum Vornherein nicht an den Versäumnissen dieses Behandlers scheiter n kann .</w:t>
      </w:r>
    </w:p>
    <w:p>
      <w:r>
        <w:rPr>
          <w:b/>
        </w:rPr>
        <w:t>E. 4.5</w:t>
      </w:r>
    </w:p>
    <w:p>
      <w:r>
        <w:t>Nach dem Gesagten ist die Beschwerdegegnerin ihrer Untersuchungspflicht nicht nachgekommen. Die Sache ist daher zur weiteren Abklärung des medizinischen Sachverhalts an die Beschwerdegegnerin zurückzuweisen. Dies führt zur Gutheis sung der Beschwerde. 5.</w:t>
      </w:r>
    </w:p>
    <w:p>
      <w:r>
        <w:t>Die Kosten gemäss Art. 69 Abs. 1 bis IVG sind ermessensweise auf Fr. 600.-- fest zusetzen und entsprechend dem Ausgang des Verfahrens der unterliegenden Beschwerdegegnerin aufzuerlegen. Das Gericht erkennt: 1.</w:t>
      </w:r>
    </w:p>
    <w:p>
      <w:r>
        <w:t>In Gutheissung der Beschwerde wird die angefochtene Verfügung vom 7. Juni 2023 aufgehoben und die Sache an die Sozialversicherungsanstalt des Kantons Zürich, IV-Stelle, zurückgewiesen, damit d ie se nach ergänzenden Abklärun gen im Sinne der Erwä gungen über den Leistungsanspruch des Beschwerdeführers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6</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