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IV.2023.00366 vom 23. November 2023</w:t>
      </w:r>
    </w:p>
    <w:p>
      <w:r>
        <w:t>ZH Sozialversicherungsgericht, 2023-11-23, DE</w:t>
      </w:r>
    </w:p>
    <w:p>
      <w:r>
        <w:rPr>
          <w:b/>
        </w:rPr>
        <w:t xml:space="preserve">Quelle: </w:t>
      </w:r>
      <w:r>
        <w:t>https://mcp.opencaselaw.ch/entscheid/zh_sozialversicherungsgericht_IV.2023.00366</w:t>
      </w:r>
    </w:p>
    <w:p>
      <w:r>
        <w:t>FR: ZH_SOZIALVERSICHERUNGSGERICHT IV.2023.00366 du 23 novembre 2023</w:t>
      </w:r>
    </w:p>
    <w:p>
      <w:r>
        <w:t>IT: ZH_SOZIALVERSICHERUNGSGERICHT IV.2023.00366 del 23 novembre 2023</w:t>
      </w:r>
    </w:p>
    <w:p>
      <w:pPr>
        <w:pStyle w:val="Heading2"/>
      </w:pPr>
      <w:r>
        <w:t>Erwägungen</w:t>
      </w:r>
    </w:p>
    <w:p>
      <w:r>
        <w:rPr>
          <w:b/>
        </w:rPr>
        <w:t>E. 1.1</w:t>
      </w:r>
    </w:p>
    <w:p>
      <w:r>
        <w:t>Der 1967 geborene X.___ , diplomierter Bauleiter Tiefbau (vgl.</w:t>
      </w:r>
    </w:p>
    <w:p>
      <w:r>
        <w:t>Urk. 6/19/8), verunfallte am 18. Januar 2000 mit seinem Roller der Marke Suzuki Typ AN125, als er von einem Personenwagen der Marke Pontiac Typ Bonneville (vgl. Urk. 6/8/137) seitlich angefahren und zu Fall gebracht wurde. In der orthopädischen Beurteilung vom 19. Januar 2000 wurden die Diagnosen einer Kniekontusion/-distorsion rechts, eine Vorfusskontusion rechts sowie eine Becken kontusion links gestellt. Im Verlauf stellten die Behandler die Diagnose einer medialen Meniskushinterhornläsion rechts , eine r Knorpelläsion retro patellär im femoropatellären Gleitlager am medialen Femurcondylus</w:t>
      </w:r>
    </w:p>
    <w:p>
      <w:r>
        <w:t>sowie eine r abgerissene n</w:t>
      </w:r>
    </w:p>
    <w:p>
      <w:r>
        <w:t>Plica</w:t>
      </w:r>
    </w:p>
    <w:p>
      <w:r>
        <w:t>infrapatellaris (vgl. Urk. 6/232/3). Die Suva erbrachte als zuständiger Unfallversicherer die gesetzlichen Leistungen (vgl. Urk. 6/8). Am 16. Oktober 2002 meldete sich der Versicherte bei der Eidgenössischen Invali denversicherung zum Leistungsbezug an (Urk. 6/2). In der Folge gewährte die Sozialversicherungsanstalt des Kantons Zürich, IV-Stelle, dem Versicherten Kostengutsprache für berufliche Massnahmen (Urk. 6/26, 6/43, 6/58). Am 14. August 2006 teilte die IV-Stelle ihm mit, er habe die Umschulung zum Berufsschullehrer erfolgreich absolviert, weshalb die beruflichen Massnahmen abgeschlossen würden (Urk. 6/75). Mit Verfügung vom 7. Mai 2008 verneinte die IV-Stelle bei einem Invaliditätsgrad von 32 % einen Anspruch auf eine Invali denrente und wies das Leistungsbegehren des Versicherten ab (Urk. 6/99).</w:t>
      </w:r>
    </w:p>
    <w:p>
      <w:r>
        <w:rPr>
          <w:b/>
        </w:rPr>
        <w:t>E. 1.2</w:t>
      </w:r>
    </w:p>
    <w:p>
      <w:r>
        <w:t>Am 11. August 2020 (Eingangsdatum) meldete sich der Versicherte unter Hinweis auf eine seit Juni 2019 bestehende Arbeitsunfähigkeit erneut bei der Eidge nössischen Invalidenversicherung zum Leistungsbezug (berufliche Integra tion/</w:t>
      </w:r>
    </w:p>
    <w:p>
      <w:r>
        <w:t>Rente) an (Urk. 6/105). Am 27. April 2021 (Eingangsdatum) reichte der Ver sicherte unter Hinweis auf bestehende Schmerzen, Müdigkeit, Konzentrations probleme sowie Standschwierigkeiten/Gleichgewicht eine weiter e Anmeldung zum Leistungsbezug ein (Urk. 6/122). Die IV-Stelle zog die Akten der Suva bei (Urk. 6/110, 6/151, 6/184) und holte weitere medizinische Berichte (Urk. 6/154-157, 6/177-182) sowie die Akten des zuständigen Krankentaggeldversicherers (Urk. 6/158-173, 6/196) ein. Am 16. November 2021 teilte die IV-Stelle dem Versicherten mit, die Unterstützung bei der Arbeitsvermittlung werde abge schlossen und die Rentenprüfung eingeleitet (Urk. 6/194). Mit Vorbescheid vom 23. November 2021 stellte die IV-Stelle dem Versicherten die Abweisung des Leistungsbegehrens in Aussicht (Urk. 6/198). Dagegen liess er am 12. Januar 202</w:t>
      </w:r>
    </w:p>
    <w:p>
      <w:r>
        <w:rPr>
          <w:b/>
        </w:rPr>
        <w:t>E. 2</w:t>
      </w:r>
    </w:p>
    <w:p>
      <w:r>
        <w:t>Dagegen liess der Versicherte am 11. Juli 2023 Beschwerde erheben und bean tragen, die angefochtene Zwischenverfügung sei aufzuheben und es sei festzu stellen, dass ein Ausstandsgrund gegen Dr. med. A.___ bestehe und das Gutachten neu zuzuteilen sei (Urk. 1 S. 2). Mit Beschwerdeantwort vom 14. September 2023 schloss die Beschwerdegegnerin auf Abweisung der Beschwer de (Urk. 5), worüber der Beschwerdeführer mit Verfügung vom 18. September 2023 in Kenntnis gesetzt wurde (Urk. 7).</w:t>
      </w:r>
    </w:p>
    <w:p>
      <w:r>
        <w:rPr>
          <w:b/>
        </w:rPr>
        <w:t>E. 2.1</w:t>
      </w:r>
    </w:p>
    <w:p>
      <w:r>
        <w:t>Die Beschwerdegegnerin begründete die angefochtene Zwischenverfügung damit, der Beschwerdeführer sei am 1. Februar 2023 vom orthopädischen Gutachter Dr.</w:t>
      </w:r>
    </w:p>
    <w:p>
      <w:r>
        <w:t>A.___ begutachtet worden. Die Exploration habe allerdings nur wenige Minuten gedauert, da der Gutachter diese habe ab brechen müssen , nachdem der Beschwerdeführer die gestellten Fragen nicht mehr beantwortet habe . Die Tonaufnahmen seien abgehört worden, daraus würden sich keine Hinweise ergeben, wonach der Gutachter nicht in der Lage wäre, unvoreingenommen eine neutrale und unabhängige Beurteilung vorzunehmen. Der Gutachter habe die Unter suchung bis zu ihrem Abbruch sachlich durchgeführt. Es seien keine abschät zigen Bemerkungen persönlicher Natur gefallen und es</w:t>
      </w:r>
    </w:p>
    <w:p>
      <w:r>
        <w:t>habe kein belei digender Ton geherrscht. Es sei auch sonst kein Verhalten zu erblic k en, das objektiv Zweifel an der Unvoreingenommenheit des Gutachters erwecken könnte. Die Art und Weise der Untersuchung erwecke keinen Anschein der Befangenheit. Er habe sich während der gesamten Dauer der Begutachtung sachlich und ruhig verhalten. Des Weiteren habe der Gutachter transparent aufgezeigt, weshalb die Begutachtung unter den gegebenen Umständen nicht mehr habe weitergeführt werden könne n und habe abgebrochen werden müsse n . Rechtsprechungsgemäss könne sich ein Ausstandsbegehren ausserdem nur gegen Personen und nicht gegen Behörden richten. E s werde daher an der Begutachtung durch Dr.</w:t>
      </w:r>
    </w:p>
    <w:p>
      <w:r>
        <w:t>A.___ sowie an der Gutachterstelle Z.___ festg eh alten und das</w:t>
      </w:r>
    </w:p>
    <w:p>
      <w:r>
        <w:t>Ausstands begehren abgewiesen (Urk. 2 S. 3-4).</w:t>
      </w:r>
    </w:p>
    <w:p>
      <w:r>
        <w:rPr>
          <w:b/>
        </w:rPr>
        <w:t>E. 2.2</w:t>
      </w:r>
    </w:p>
    <w:p>
      <w:r>
        <w:t>Der Beschwerdeführer stellte sich demgegenüber auf den Standpunkt, am Nach mittag des 1. Februar 2023 sei er bei Dr. A.___ zum Gutachtensgespräch erschienen. Die Begutachtung sei von diesem nach nur sieben Minuten beendet worden mit der Unterstellung, er habe sich «unverschämt» verhalten. Obwohl er mehrfach und vehement auf der Weiterführung der Begutachtung insistiert habe, habe Dr. A.___ die Weiterführung der Untersuchung verweigert. Am Folgetag habe er seine Schilderungen mit der Erläuterung, dass das Vertrauen in die Gutachterstelle massiv gestört sei und eine andere Lösung gesucht werden müsse, eingereicht und am 6. Februar 2023 ein zusätzliches Ausstandsbegehren gestellt (Urk. 1 S. 3) .</w:t>
      </w:r>
    </w:p>
    <w:p>
      <w:r>
        <w:rPr>
          <w:b/>
        </w:rPr>
        <w:t>E. 3</w:t>
      </w:r>
    </w:p>
    <w:p>
      <w:r>
        <w:t>.2</w:t>
      </w:r>
    </w:p>
    <w:p>
      <w:r>
        <w:t>Nach Lage der Akten ist erstellt , dass die gutachterliche Untersuchung durch Dr.</w:t>
      </w:r>
    </w:p>
    <w:p>
      <w:r>
        <w:t>A.___ am 1. Februar 2023 nach</w:t>
      </w:r>
    </w:p>
    <w:p>
      <w:r>
        <w:rPr>
          <w:b/>
        </w:rPr>
        <w:t>E. 7</w:t>
      </w:r>
    </w:p>
    <w:p>
      <w:r>
        <w:t>: 32 Minuten abgebrochen wurde (vgl.</w:t>
      </w:r>
    </w:p>
    <w:p>
      <w:r>
        <w:t>Tonbandaufnahmen vom 1. Februar 2023, Urk. 9). Nachdem Dr. A.___ die Untersuchung abgebrochen hatte, nahm er um 14:11 Uhr mit der Beschwerde gegnerin telefonischen Kontakt auf. Aus der Telefonnotiz der Kundenberaterin der Beschwerdegegnerin geht F olgendes hervor: Dr. A.___</w:t>
      </w:r>
    </w:p>
    <w:p>
      <w:r>
        <w:t>habe vom Abbruch der orth opädische n Untersuchung berichtet , die um 14:00 Uhr begonnen hatte. Der Beschwerdeführer habe sich unkooperativ und frech verhalten, er habe nicht mitmachen wollen. Auf eine Frage habe der Beschwerdeführer geantwortet: «weiss ich nicht, was für einen Sch … werde man da gefragt». Daraufhin sei die Untersuchung abgebrochen worden und de r Beschwerdeführer sei gebeten wor den , die Räumlichkeiten zu verlassen. Nachdem sich der Beschwerdeführer geweigert ha b e , habe der Gutachter ihm erklärt, dass er die Polizei benach richtigen werde, wenn er – der Beschwerdeführer – innert einer viertel Stunde die Gutachterstelle nicht verlasse. Nach interner Rück- und Absprache sei Dr.</w:t>
      </w:r>
    </w:p>
    <w:p>
      <w:r>
        <w:t>A.___ telefonisch über den weiteren Ablauf informiert worden und er habe sich damit einverstanden erklärt, den Beschwerdeführer nochmals einzu laden (Urk. 6/250). 3. 4</w:t>
      </w:r>
    </w:p>
    <w:p>
      <w:r>
        <w:t>Unter den gegebenen Umständen kann der Beschwerdegegnerin nicht gefolgt werden, wonach der Gutachter sich transparent gezeigt und sachlich dargelegt habe, weshalb die Begutachtung abgebrochen werden musste (Urk. 2). Aus den Tonbandaufnahmen geht hervor, dass die Reaktion des Gutachters Dr. A.___</w:t>
      </w:r>
    </w:p>
    <w:p>
      <w:r>
        <w:t>voreilig war. Die Untersuchung wurde bereits nach wenigen Minuten aus nichtigem Anlass abgebrochen, nachdem der Beschwerdeführer die Art und Weise der Befragung hinterfragt hatte. Von einem Gutachter darf in einer solchen Situation erwartet werden, dass er die zu untersuch ende Person vor Abbruch der Untersuchung über den Grund und die Bedeutung der Begutachtung erneut aufklär t . Zudem wäre vom Gutachter zu erwarten gewesen, dass er den Beschwerdeführer bei dessen unkooperative n Verhalten auf seine Mitwirkungs pflich ten hinweist, bevor der Abbruch der Untersuchung vollzogen wird. Ent gegen der Ansicht der Beschwerdegegnerin kann vor diesem Hintergrund nicht von einer sachlichen Durchführung der Untersuchung gesprochen werden. Es wäre von Dr. A.___</w:t>
      </w:r>
    </w:p>
    <w:p>
      <w:r>
        <w:t>zu erwarten gewesen, dass dieser dem Beschwerdeführer nach dessen Votum über die Befragungsart darüber informier t , weshalb eine detaillierte Befragung über den Unfall – der rund 23 Jahre zurück liegt – für die Beurteilung seines Leistungsanspruchs relevant sein könnte. Eine weitere Mög lichkeit wäre auch gewesen , vor einem endgültigen Abbruch der Begutacht ung dem Beschwerdeführer eine Bedenkp ause einzuräumen, zumal der Beschwerde führer selbst darauf bestand, die Begutachtung fortzusetzen. Von einem erfah renen Gutachter kann erwartet werden, dass er auch bei Versicherten, die sich nicht immer kooperativ verhalten und gewisse Fragestellungen anzweifeln, die Situation zu beschwichtigen versucht. Einen gerechtfertigten Grund, die Begut achtung bereits nach 7:32 Minuten abzubrechen, ist daher nicht ersichtlich.</w:t>
      </w:r>
    </w:p>
    <w:p>
      <w:r>
        <w:t>Aufgrund des hohen Stellenwertes eines Gutachtens ist zwingend erforderlich, dass die Gutachter ergebnisoffen an die Begutachtung herangehen. An die Unpar teilichkeit und Unbefangenheit medizinischer S a chverständiger werden hohe Anforderungen gestellt. Der blosse Anschein reicht aus, um eine Befangenheit zu bejahen. Die genannten Äusserungen von Dr. A.___ , wonach der Beschwer de führer unverschämt sei und keinen Anstand habe , sowie der Abbruch der Begutachtung sind objektiv betrachtet geeignet, Misstrauen an der Unpar tei lichkeit des Gutachters zu erwecken und eine Befangenheit des Sachverständigen anzunehmen . Insgesamt ist ein Anschein der Befangenheit vorliegend gegeben (vgl. auch Urteil des Bundesgerichts 9C_469/2016 vom 22. Dezember 2016 E. 5.1). Dem vom Beschwerdeführer gestellten Ausstandsbegehren ist daher zu entsprechen. Festzuhalten bleibt, dass die Gutheissung des Ausstandbegehrens in keiner We i se bedeutet, dass Dr. A.___ als Gutachter nicht nach bestem Wissen und Gewissen seine Beurteilung erstattet hätte. 3. 5</w:t>
      </w:r>
    </w:p>
    <w:p>
      <w:r>
        <w:t>Abschliessen d ist festzuhalten, dass e ine Neuzuteilung des polydisziplinären Gutachtens an eine andere Gutachtensstelle vorliegend nicht angezeigt ist . D ie Beschwerdegegnerin hat diesbezüglich zu Recht darauf hingewiesen (Urk. 2 S. 3 f.) , dass sich ein Ausstandsbegehren rechtsprechungsgemäss stets nur gegen Personen und nicht gegen Behörden richten kann. Nur die für eine Behörde tätigen Personen, nicht die Behörde als solche, können befangen sein (Urteil des Bundesgerichts 8C_106/2017 vom 12. April 2017 E. 3.1). Zulässig sind zwar Ausstandsbegehren gegen sämtliche Mitglieder einer Behörde oder Institution, es müssen aber gegen jedes einzelne Mitglied spezifische Ausstandsbegehren gel tend gemacht werden, die über die Kritik hinausgehen, die Behörde oder Institution als solche sei befangen (Urteil des Bundesgerichts 8C_ 218/2021 vom 6. Mai 2021 E. 4.1 ). Die blosse Kollegialität unter Fachpersonen, seien dies Ärzte oder Richter, gebietet keine Ausstandspflicht , ansonsten wären die entspre chenden Institutionen lahmgelegt (Entscheid 720 1</w:t>
      </w:r>
    </w:p>
    <w:p>
      <w:r>
        <w:rPr>
          <w:b/>
        </w:rPr>
        <w:t>E. 8</w:t>
      </w:r>
    </w:p>
    <w:p>
      <w:r>
        <w:t>202/39 des Kantonsgerichts Basel-Landschaft, Abteilung Sozialversicherungsrecht, vom 13. Februar 2019 E. 4.3; vgl. auch Urteil des Bundesgerichts 8C_577/2011 vom 1. Februar 2012 E. 4.4). Der Beschwerdeführer brachte keine expliziten Einwände gegen die bereits erfolgten Teilgutachten in den Disziplinen Allgemeine Innere Medizin und Psychiatrie vor (vgl. Urk. 1 S. 4 Ziff. 9). Ein Ausstandbegehren gegen den neurologischen Gutachter Dr. med. B.___ , dessen Begutachtung noch aus stehend ist, steht ebenfalls nicht im Raum. Mithin ist einzig die Neuzuteilung des orthopädische n Teilgutachten s angezeigt.</w:t>
      </w:r>
    </w:p>
    <w:p>
      <w:r>
        <w:t>3. 6</w:t>
      </w:r>
    </w:p>
    <w:p>
      <w:r>
        <w:t>Nach dem Gesagten ist d ie Beschwerde gutzuheissen und die angefochtene Zwischenverfügung vom 13. Juni 2023 (Urk. 2) teilweise aufzuheben verbunden mit der Feststellung, dass die Beschwerdegegnerin die orthopädische Begutach tung nicht an Dr. med. A.___ zuteilen darf . 4.</w:t>
      </w:r>
    </w:p>
    <w:p>
      <w:r>
        <w:t>4. 1</w:t>
      </w:r>
    </w:p>
    <w:p>
      <w:r>
        <w:t>Da es vorliegend nicht um die Bewilligung oder Verweigerung von Leistungen der Invalidenversicherung geht, ist das Verfahren kostenlos (Art. 69 Abs. 1 bis</w:t>
      </w:r>
    </w:p>
    <w:p>
      <w:r>
        <w:t>des Bundesgesetzes über die Invalidenversicherung [ IVG ] e contrario). 4.2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Entschä digungen vor dem Sozialversicherungsgericht [ GebV</w:t>
      </w:r>
    </w:p>
    <w:p>
      <w:r>
        <w:t>SVGer ] ).</w:t>
      </w:r>
    </w:p>
    <w:p>
      <w:r>
        <w:t>Dem Ausgang des Verfahrens entsprechend hat der durch einen Rechtsanwalt vertretene Beschwerdeführer Anspruch auf eine Parteientschädigung, die ermessens weise auf Fr. 1'500.-- (inklusive Barauslagen und Mehrwertsteuer) festzusetzen ist. Das Gericht erkennt: 1.</w:t>
      </w:r>
    </w:p>
    <w:p>
      <w:r>
        <w:t>In Gutheissung der Beschwerde gegen die Zwischenverfügung vom 13. Juni 2023 werden deren Dispositiv-Ziffer 1 ganz und Ziffer 3 teilweise aufgehoben mit der Feststellung, dass die Sozialversicherungsanstalt des Kantons Zürich, IV-Stelle, die orthopädische Begutachtung nicht an Dr. med. A.___ zuteilen darf . 2.</w:t>
      </w:r>
    </w:p>
    <w:p>
      <w:r>
        <w:t>Das Verfahren ist kostenlos. 3.</w:t>
      </w:r>
    </w:p>
    <w:p>
      <w:r>
        <w:t>Die Beschwerdegegnerin wird verpflichtet, dem Beschwerdeführer eine Parteient schä digung von Fr. 1’500 .-- (inkl. Barauslagen und MWST) zu bezahlen. 4.</w:t>
      </w:r>
    </w:p>
    <w:p>
      <w:r>
        <w:t>Zustellung gegen Empfangsschein an: - Rechtsanwalt Kaspar Gehring - Sozialversicherungsanstalt des Kantons Zürich, IV-Stelle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