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IV.2023.00233 vom 15. August 2023</w:t>
      </w:r>
    </w:p>
    <w:p>
      <w:r>
        <w:t>ZH Sozialversicherungsgericht, 2023-08-15, DE</w:t>
      </w:r>
    </w:p>
    <w:p>
      <w:r>
        <w:rPr>
          <w:b/>
        </w:rPr>
        <w:t xml:space="preserve">Quelle: </w:t>
      </w:r>
      <w:r>
        <w:t>https://mcp.opencaselaw.ch/entscheid/zh_sozialversicherungsgericht_IV.2023.00233</w:t>
      </w:r>
    </w:p>
    <w:p>
      <w:r>
        <w:t>FR: ZH_SOZIALVERSICHERUNGSGERICHT IV.2023.00233 du 15 août 2023</w:t>
      </w:r>
    </w:p>
    <w:p>
      <w:r>
        <w:t>IT: ZH_SOZIALVERSICHERUNGSGERICHT IV.2023.00233 del 15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1970, leidet seit Kindesalter an eine m Diabetes Typ 1 Erkrankung mit Polyneuropathie bei Spreizfüssen und Krallenzehen, weswegen ihr die Eidgenössische Invalidenversicherung seit dem Jahr 2004 Kosten gutsprachen für orthopädisches Schuhwerk erteilte (vgl. Urk. 8 /5, 8 /13, 8 /38, 8 /58). Am 6. Juni 2018 meldete sich die Versicherte unter Angabe seit dem 1 5. November 2015 bestehender Beschwerden und Arbeitsunfähigkeiten zum Leistungsbezug (berufliche Integration, Rente) an ( Urk. 8 /21 Ziff. 4.3, vgl. auch Urk. 8 /23). Die zuständige Sozialversicherungsanstalt des Kantons Zürich, IV-Stelle, tätigte Abklärungen in erwerblicher und medizinischer Hinsicht und ver neinte mit Verfügung vom 9.</w:t>
      </w:r>
    </w:p>
    <w:p>
      <w:r>
        <w:t>Dezember 2019 einen Anspruch auf IV-Leistungen. Die dagegen erhobene Beschwerde wurde vom hiesige n Gericht mit Urteil vom 2 8. Dezember 2020 (Prozess Nr. IV.2020.00001 )</w:t>
      </w:r>
    </w:p>
    <w:p>
      <w:r>
        <w:t>in dem Sinne gutgeheissen, als die angefochtene Verfügung vom 9. Dezember 2019 aufgehoben und die Sache zur weiteren Abklärung</w:t>
      </w:r>
    </w:p>
    <w:p>
      <w:r>
        <w:t>und Neuverfügung an die IV-Stelle zurückgewiesen wurde ( Urk. 8/ 85 S. 1 0 ).</w:t>
      </w:r>
    </w:p>
    <w:p>
      <w:r>
        <w:t>Am 3. Januar 2021 erlitt die Versicherte einen cerebrovaskulären Insult im Mediastromgebiet rechts und weilte bis 1 1. Februar 2021 zur Rehabilitation ( Urk. 8 /10</w:t>
      </w:r>
    </w:p>
    <w:p>
      <w:r>
        <w:rPr>
          <w:b/>
        </w:rPr>
        <w:t>E. 4</w:t>
      </w:r>
    </w:p>
    <w:p>
      <w:r>
        <w:t>). Die IV-Stelle holte weitere Arztberichte ein und legte diese ihrem regionalen ärztlichen Dienst (RAD) zur Stellungnahme vor ( Urk. 8/121/3-4). Mit Vorbescheid vom 1. September 2021 stellte die IV-Stelle einen Anspruch auf eine halbe Rente mit Wirkung ab 1. Januar 2022 in Aussicht ( Urk. 8/124). Nachdem die Versicherte dagegen Einwand erhoben hatte (vgl. Urk. 8/127, 8/130 und 8/138), veranlasste die IV-Stelle eine polydisziplinäre Abklärung , für welche die Y.___</w:t>
      </w:r>
    </w:p>
    <w:p>
      <w:r>
        <w:t>GmbH</w:t>
      </w:r>
    </w:p>
    <w:p>
      <w:r>
        <w:t>vorgesehen wurde ( Urk. 8/141, 8/144, 8/147). In der Folge gab es mit dem Arbeitgeber Unstimmigkeiten auf grund der vorgesehenen Untersuchungstermine ( Urk. 8/148, Urk. 8/150-154). Am 2 8. Juni 2022 forderte die IV-Stelle mit dem Hinweis, dass die Y.___ gemeldet habe, dass der Termin vom 2 3. Juni 2022 nicht wahrgenommen worden sei, die Versicherte auf ,</w:t>
      </w:r>
    </w:p>
    <w:p>
      <w:r>
        <w:t>eine Bereitschaftserklärung für die ärztliche Begutachtung bis 1 2. Juli 2022 zu unterzeichnen ( Urk. 8/160). Mit der Begründung ,</w:t>
      </w:r>
    </w:p>
    <w:p>
      <w:r>
        <w:t>die Versicherte habe ihre Mitwirkungspflicht en verletzt, teilte die IV-Stelle a m 22.</w:t>
      </w:r>
    </w:p>
    <w:p>
      <w:r>
        <w:t>Juli 2022 die Annullation der Begutachtung mit ( Urk. 8/162). Mit Verfügung vom 2 4. April 2023 entschied die IV-Stelle gemäss der Ankündigung in ihrem Vorbescheid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