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IV.2023.00205 vom 19. September 2023</w:t>
      </w:r>
    </w:p>
    <w:p>
      <w:r>
        <w:t>ZH Sozialversicherungsgericht, 2023-09-19, DE</w:t>
      </w:r>
    </w:p>
    <w:p>
      <w:r>
        <w:rPr>
          <w:b/>
        </w:rPr>
        <w:t xml:space="preserve">Quelle: </w:t>
      </w:r>
      <w:r>
        <w:t>https://mcp.opencaselaw.ch/entscheid/zh_sozialversicherungsgericht_IV.2023.00205</w:t>
      </w:r>
    </w:p>
    <w:p>
      <w:r>
        <w:t>FR: ZH_SOZIALVERSICHERUNGSGERICHT IV.2023.00205 du 19 septembre 2023</w:t>
      </w:r>
    </w:p>
    <w:p>
      <w:r>
        <w:t>IT: ZH_SOZIALVERSICHERUNGSGERICHT IV.2023.00205 del 19 settembre 2023</w:t>
      </w:r>
    </w:p>
    <w:p>
      <w:pPr>
        <w:pStyle w:val="Heading2"/>
      </w:pPr>
      <w:r>
        <w:t>Erwägungen</w:t>
      </w:r>
    </w:p>
    <w:p>
      <w:r>
        <w:rPr>
          <w:b/>
        </w:rPr>
        <w:t>E. 1</w:t>
      </w:r>
    </w:p>
    <w:p>
      <w:r>
        <w:t>; vgl. Urk. 11/55/62 Mitte ) .</w:t>
      </w:r>
    </w:p>
    <w:p>
      <w:r>
        <w:t>Im Unfall versicherungs verfahren stellte die Suva die Taggelder mit Schreiben vom 1 6. August 2021 ( Urk. 11/30/33-34) per Ende August 2021 und die Heilkosten mit Schreiben vom 7. Oktober 2021 ( Urk. 11/30/27) per 1 7. Oktober 2021 formlos ein.</w:t>
      </w:r>
    </w:p>
    <w:p>
      <w:r>
        <w:t>Nach durchgeführtem Vorbescheidverfahren ( Urk. 11/59 ; Urk. 11/62) verneinte die IV-Stelle mit Verfügung vom 3. März 2023 bei einem Invaliditätsgrad von 18 % einen Rentenanspruch und einen Anspruch auf beruf liche Massnahmen ( Urk. 11/64 = Urk. 2). Mit Schreiben vom 2 1. März 2023 ( Urk. 11/66) ersuchte der Versicherte die IV-Stelle um Wiedererwägung dieser Verfügung, worauf diese mit Schreiben vom 2 6. April 2023 ( Urk. 11/70) nicht eintrat.</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Leistungsanspruchs nicht unbedingt identisch sind, fällt eine Leistung unter das neue Recht, wenn der Anspruchsbeginn ab dem 1. Januar 2022 liegt, auch wenn die Invalidität vor diesem Zeitpunkt eingetreten ist.</w:t>
      </w:r>
    </w:p>
    <w:p>
      <w:r>
        <w:t>Der im Zentrum stehende Unfall mit seinen gesundheitlichen Folgen datiert vom 5. September 201 9. Die angefochtene Verfügung erging nach dem 1. Januar 202 2. Der Beschwerdeführer war bereits am 4. März 2020 von einem Mitarbeiter der Suva informiert worden, dass er die Anmeldung bei der Invalidenversiche rung vornehmen müsse . Es wurde in einer Besprechung festgehalten, dass d er Beschwerdeführer das Formular ausfüllen und der Suva retournieren werde . Seitens der Suva würden dann die Unfallakten beigefügt und sämtliche Unter lagen der SVA zugestellt</w:t>
      </w:r>
    </w:p>
    <w:p>
      <w:r>
        <w:t>( Gesprächsnotiz; Urk. 11/30/136). Dabei wurde zum weiteren Vorgehen der Vermerk «Anmeldung Invalidenversicherung über wachen » angebracht ( Urk. 11/30/137). Das Anmeldef ormular wurde gleichentags, am 4. März 2020 ,</w:t>
      </w:r>
    </w:p>
    <w:p>
      <w:r>
        <w:t>vom Beschwerdeführer unterzeichnet ( Urk. 11/29). Im März 2021 wurde anlässlich einer Besprechung mit der Suva festgehalten, dass die Anmeldung bei der Invalidenversicherung vollzogen sei und die Suva noch das Meldeverfahren nachholen werde. Der Beschwerdeführer teilte damals mit, dass er bis jetzt keine Meldung der Invalidenversicherung erhalten habe ( Urk. 11/30/61 unten). Aus unbekannten Gründen ging die Anmeldung erst am 8. Februar 2022 bei der Beschwerdegegnerin ein ( Urk. 11/29 Ziff. 6.1, Ziff. 10; Urk. 11/ 29/1 ) .</w:t>
      </w:r>
    </w:p>
    <w:p>
      <w:r>
        <w:t>Nachdem die Suva selbst die Anmeldung überwachen wollte und dies in der Folge jedoch nicht tat, hat nicht der Beschwerdeführer zu vertreten, dass das Anmelde formular erst im Februar 2022 bei der Beschwerdegegnerin einging. Es ist vielmehr von einer Anmeldung im Jahr 2020 bei der zwar unzuständigen Suva auszugehen, diese hätte jedoch die Anmeldung an die SVA weiterleiten sollen ( Art. 30 ATSG) , wie dies auch die Beschwerdegegnerin einräumt (vgl. Urk. 11/70). D a d er Anspruch auf Massnahmen beruflicher Art gemäss Art. 10 IVG ( frühes tens ) im Zeitpunkt der Geltendmachung des Leistungsanspruchs nach Artikel 29 Absatz 1 ATSG ( Abs. 1) entsteht ,</w:t>
      </w:r>
    </w:p>
    <w:p>
      <w:r>
        <w:t>s ind vorliegend die bis 31. Dezember 2021 gültig gewesenen Rechtsvorschriften anwendbar, die nachfolgend auch in dieser Fassung zitiert werden.</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Massnahmen ( lit . a), Integrationsmassnahmen zur Vorbereitung auf die beruf liche Eingliederung ( lit . a bis ), Massnahmen beruflicher Art (Berufsberatung, erstmalige berufliche Ausbildung, Umschulung, Arbeitsvermittlung, Kapitalhilfe; lit . b) und in</w:t>
      </w:r>
    </w:p>
    <w:p>
      <w:r>
        <w:t>der Abgabe von Hilfsmitteln ( lit . d).</w:t>
      </w:r>
    </w:p>
    <w:p>
      <w:r>
        <w:rPr>
          <w:b/>
        </w:rPr>
        <w:t>E. 1.3</w:t>
      </w:r>
    </w:p>
    <w:p>
      <w:r>
        <w:t>Gemäss Art. 17 IVG hat die versicherte Person Anspruch auf Umschulung auf eine neue Erwerbstätigkeit, wenn die Umschulung infolge Invalidität notwendig ist und dadurch die Erwerbsfähigkeit voraussichtlich erhalten od er verbessert werden kann (Abs. 1). Der Umschulung auf eine neue Erwerbstätigkeit ist die Wiedereinschulung in den bisher igen Beruf gleichgestellt (Abs. 2). Al s Umschu lung gelten gemäss Art. 6 Abs. 1 IVV Ausbildungsmassnahmen, die Versicherte nach Abschluss einer erstmaligen beruflichen Ausbildung oder nach Aufnahme einer Erwerbstätigkeit ohne vorgängige berufliche Ausbildung wegen ihrer Invalidität zur Erhaltung oder Verbesserung der Erwerbsfähigkeit benötigen.</w:t>
      </w:r>
    </w:p>
    <w:p>
      <w:r>
        <w:rPr>
          <w:b/>
        </w:rPr>
        <w:t>E. 1.4</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 In der Regel besteht nur ein Anspruch auf die dem jeweiligen Eingliederungszweck angemessenen, notwendigen Massnahmen, nicht aber auf die nach den gegebe nen Umständen bestmöglichen Vorkehren . Denn das Gesetz will die Eingliede 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w:t>
      </w:r>
    </w:p>
    <w:p>
      <w:r>
        <w:t>Für die Beurteilung der Gleichwertigkeit im Sinne der erwähnten Rechtsprechung ist in erster Linie auf die miteinander zu vergleichenden Erwerbsmöglichkeiten im ursprünglichen und im neuen Beruf oder in einer der versicherten Person zumutbaren Tätigkeit abzustellen. Zwar geht es nicht an,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 lichen Möglichkeiten anderseits, abhängen zu lassen. Vielmehr ist im Rahmen der vorzunehmenden Prognose (BGE 110 V 99 E. 2) unter Berücksichtigung der gesamten Umstände nicht nur der Gesichtspunkt der Verdienstmöglichkeit, sondern der für die künftige Einkommensentwicklung ebenfalls bedeutsame qualitative Stellenwert der beiden zu vergleichenden Berufe mit zu berücksich tigen. Die annähernde Gleichwertigkeit der Erwerbsmöglichkeit in der alten und neuen Tätigkeit dürfte auf weite Sicht nur dann zu verwirklichen sein, wenn auc h die beiden Ausbildungen einen einigermassen vergleichbaren Wert aufweisen (BGE 124 V 108 E. 3b; AHI 1997 S. 86 E. 2b; Urteile des Bundesgerichts I 826/05 vom 28. Februar 2006 E. 4.1 in fine und I 783/03 vom 18. August 2004 E. 5.2 mit Hinweisen; Meyer-Blaser, Zum Verhältnismässigkeitsgrundsatz im staat lichen Leistungsrecht, Diss . Bern 1985, S. 186).</w:t>
      </w:r>
    </w:p>
    <w:p>
      <w:r>
        <w:t>Massnahmen im Sinne von Art. 17 IVG setzen subjektive und objektive Eingliederungsfähigkeit voraus (AHI 1997 S. 82 E. 2b/ aa ; ZAK 1991 S. 179 unten f. E. 3). Nicht unter Umschulung fallen Massnahmen der sozialberuflichen Rehabilita tion (wie Gewöhnung an den Arbeitsprozess, Aufbau der Arbeitsmotivation, Stabilisierung der Persönlichkeit, Einüben der sozialen Grundelemente) mit dem primären Ziel, die Eingliederungsfähigkeit der versicherten Person zu erreichen oder wieder herzustellen (ZAK 1992 S. 367 E. 2b; Urteil des Bundesgerichts I 527/00 vom 30. April 2001).</w:t>
      </w:r>
    </w:p>
    <w:p>
      <w:r>
        <w:rPr>
          <w:b/>
        </w:rPr>
        <w:t>E. 2</w:t>
      </w:r>
    </w:p>
    <w:p>
      <w:r>
        <w:t>Am 2 0. April 2023 erhob der Versicherte Beschwerde gegen die Verfügung vom 3. März 2023 ( Urk. 2) und beantragte deren Aufhebung und die Gewährung einer Umschulung, eventualiter die Rückweisung der Sache zur Neubeurteilung ( Urk. 1 S. 2). Mit Beschwerdeantwort vom 3 0. Mai 2023 ( Urk. 10) beantragte die Beschwerdegegnerin die Abweisung der Beschwerde, was dem Beschwerdeführer mit Verfügung vom 8. Juni 2023 mitgeteilt wurde. Gleichzeitig wurde sein Antrag auf Gewährung der unentgeltlichen Prozessführung und Rechtsvertretung ( Urk. 1 S. 2) mangels Substantiierung abgewiesen ( Urk. 12). Das Gericht zieht in Erwägung: 1.</w:t>
      </w:r>
    </w:p>
    <w:p>
      <w:r>
        <w:rPr>
          <w:b/>
        </w:rPr>
        <w:t>E. 2.1</w:t>
      </w:r>
    </w:p>
    <w:p>
      <w:r>
        <w:t>Die Beschwerdegegnerin begründete die angefochtene Verfügung ( Urk. 2) wie folgt: Dem Beschwerdeführer sei die bisherige Tätigkeit als Gipser seit dem Unfall im September 2019 nicht mehr möglich. Im Jahr 2020 hätte er mit dieser Tätigkeit ein Einkommen von Fr. 79'934.40 erzielen können (S. 1). Mit seinen gesundheit lichen Einschränkungen könne er ein Invalideneinkommen von Fr. 65'815.10 erreichen. Der Einkommensvergleich ergebe einen Invaliditätsgrad von 18 % , weshalb der für eine Umschulung erforderliche Invaliditätsgrad von 20 % nicht erreicht werde. Es bestehe kein Anspruch auf Leistungen der Invalidenversiche rung. Der regionale ärztliche Dienst beurteile den Beschwerdeführer unter Berücksichtigung des Belastungsprofils als voll arbeitsfähig, weshalb kein Abzug vom Tabellenlohn angezeigt sei (S. 2). Auf dem ausgeglichenen Arbeitsmarkt seien selbst für funktionell Einarmige genügend Tätigkeiten vorhanden, selbst für Personen, die ihre dominante Hand - was beim Beschwerdeführer nicht zutreffe - nur sehr eingeschränkt benützen könnten (S. 1). Bei einer Arbeitsfähigkeit von 100 % in optimal behinderungsangepassten Tätigkeiten biete der ausgeglichene Arbeitsmarkt genügend realistische Arbeitsmöglichkeiten (S. 2).</w:t>
      </w:r>
    </w:p>
    <w:p>
      <w:r>
        <w:rPr>
          <w:b/>
        </w:rPr>
        <w:t>E. 2.2</w:t>
      </w:r>
    </w:p>
    <w:p>
      <w:r>
        <w:t>Der Beschwerdeführer machte geltend ( Urk. 1), bei ihm liege faktisch eine E i narmigkeit vor. Der linke Arm könne nur zudienend eingesetzt werden, wodurch eine sehr grosse Zahl von leichteren Tätigkeiten von vornherein wegfalle. Nachdem bei ihm nahezu alle Bewegungen mit dem linken Arm ausgeschlossen seien, sei seine Arbeitsfähigkeit kaum verwertbar, und wenn doch, müsse er eine erhebliche Lohneinbusse gegenüber dem Tabellenlohn hinnehmen. Die im Kompetenzniveau 1 der statistischen Lohnstrukturerhebungen (LSE) enthaltenen Durchschnittslöhne enthielten diverse schwere Tätigkeiten, die er nicht mehr durchführen könne. Es sei deshalb ein Abzug von 20 % vorzunehmen, womit die Schwelle von 20 % - bei der es sich um einen blossen Richtwert handle - für eine Umschulung überschritten werde. Dies sei auch bei einem Abzug von nur 5 % der Fall (S.</w:t>
      </w:r>
    </w:p>
    <w:p>
      <w:r>
        <w:rPr>
          <w:b/>
        </w:rPr>
        <w:t>E. 2.3</w:t>
      </w:r>
    </w:p>
    <w:p>
      <w:r>
        <w:t>Streitig und zu prüfen ist ein Anspruch des Beschwerdeführers auf eine Umschu lung und in diesem Zusammenhang insbesondere die Frage, ob ein Abzug vom Tabellenlohn zu erfolgen hat . 3.</w:t>
      </w:r>
    </w:p>
    <w:p>
      <w:r>
        <w:t>3.1</w:t>
      </w:r>
    </w:p>
    <w:p>
      <w:r>
        <w:t>Am 5. September 2019 erlitt der dominant rechtshändige Beschwerdeführer bei seiner Tätigkeit als Gipser beim Sturz auf der Baustelle eine Bizepssehnenruptur links mit anschliessender gänzlicher Arbeitsunfähigkeit ( Urk. 11/55/302). Die Refixationsoperation vom 2 9. Oktober 2019 verlief gut, es folgte jedoch eine längere Rehabilitationszeit mit gänzlicher Arbeitsunfähigkeit als Gipser ( Urk. 11/55/296, 11/55/2 46 ) . Ab Juni 2020 erfolgte am alten Arbeitsplatz ein Wiedereinstieg als Gipser zu 50 % ( Urk. 11/55/225, 11/55/209). Nach erfolgter Kündigung per 3 1. Oktober 2020 ( Urk. 11/55/197) brachte die weiterführende Physiotherapie keine vollständige Wiederherstellung der Kraft</w:t>
      </w:r>
    </w:p>
    <w:p>
      <w:r>
        <w:t>im Arm aufgrund einer festgestellten Tendinose</w:t>
      </w:r>
    </w:p>
    <w:p>
      <w:r>
        <w:t>der Sehne ( Urk. 11/55/175). Unter Berücksich tigung der Berichte des behandelnden orthopädischen Facharztes Dr. med. B.___ , erachtete Kreisarzt Dr. med. C.___ , Facharzt für Orthopädische Chirurgie und Traumatologie, in der Stellungnahme vom 1 9. April 2021 ( Urk. 11/55/181-182) für die linke obere Extremität des Beschwerdeführers ganz tags leichte Arbeiten als zu 100 % zumutbar, unter der Einschränkung, dass kraftvolle repetitive Unterarmbewegungen, Ellbogenflexionen, kräftiges Zupacken oder Tätigkeiten, welche Vibrationen oder Schläge auf die Extremität übertragen, als auch Tätigkeiten an schwer zugänglichen Stellen aus dem Tätig keitsprofil auszuschliessen seien (S. 1 ; vgl. auch Urk. 11/55/169 ).</w:t>
      </w:r>
    </w:p>
    <w:p>
      <w:r>
        <w:t>Nach Durchführung einer Untersuchung am 9. August 2022 ( Urk. 11/ 55 / 58-66 ) und nach Beizug der bildgebenden Verfahren hielt Kreisärztin Dr. med. D.___ , Fachärztin für Allgemeine Innere Medizin, ein chronisches Schmerz - syndrom Ellbogen links mit einer leichten Bewegungseinschränkung und eine Impingement -Symptomatik und eine Bizepssehnentendinopathie an der linken Schulter mit einer Rotatorenmanschettenläsion</w:t>
      </w:r>
    </w:p>
    <w:p>
      <w:r>
        <w:t>fest . Mit der Diagnose betreffend die linke Schulter konnten die geklagten Schmerzen vor allem bei Überkopf arbeiten ,</w:t>
      </w:r>
    </w:p>
    <w:p>
      <w:r>
        <w:t>aber auch nachts beim Schlafen erklärt werden (S.</w:t>
      </w:r>
    </w:p>
    <w:p>
      <w:r>
        <w:rPr>
          <w:b/>
        </w:rPr>
        <w:t>E. 4</w:t>
      </w:r>
    </w:p>
    <w:p>
      <w:r>
        <w:t>f.). Leidensangepasst und zumutbar wären beispielsweise admi nistrative Tätigkeiten, für die ihm jedoch die Ausbildung fehle. Daher wäre eine entsprechende Umschulung im administrativen Bereich wie Handelsschule oder technischer Kaufmann notwendig und würde seine Erwerbsfähigkeit langfristig verbessern; er sei aber auch für andere Vorschläge offen (S. 6).</w:t>
      </w:r>
    </w:p>
    <w:p>
      <w:r>
        <w:rPr>
          <w:b/>
        </w:rPr>
        <w:t>E. 4.1</w:t>
      </w:r>
    </w:p>
    <w:p>
      <w:r>
        <w:t>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Meyer/Reichmuth, Bundes gesetz über die Invalidenversicherung, 3. Auflage 2014, Rn . 131 zu Art. 28a).</w:t>
      </w:r>
    </w:p>
    <w:p>
      <w:r>
        <w:t>Das trotz der gesundheitlichen Beeinträchtigung zumutbarerweise erzielbare Einkommen ist bezogen auf einen ausgeglichenen Arbeitsmarkt zu ermitteln (Art. 16 ATSG; BGE 138 V 457 E. 3.1 mit Hinweis). Dabei ist nicht von realitäts 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 gemäss keine übermässigen Anforderungen zu stellen (Urteil des Bundesgerichts 9C_910/2011 vom 30. März 2012 E. 3.1 mit Hinweis; vgl. BGE 138 V 457 E. 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 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Bundesgerichts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w:t>
      </w:r>
    </w:p>
    <w:p>
      <w:r>
        <w:t>Der ausgeglichene Arbeitsmarkt umfasst auch leichte Hilfsarbeiten, zum Beispiel leichte Überwachungs-, Prüf- und Kontrollarbeiten in der Industrie oder die Bedienung und Überwachung von (halb-)automatischen Maschinen oder Produk tionseinheiten sowie Sortierarbeiten, welche allesamt keine besonderen Quali fikationen erfordern (Urteil des Bundesgerichts 8C_599/2015 vom 22. Dezember 2015 E. 5.1).</w:t>
      </w:r>
    </w:p>
    <w:p>
      <w:r>
        <w:rPr>
          <w:b/>
        </w:rPr>
        <w:t>E. 4.2</w:t>
      </w:r>
    </w:p>
    <w:p>
      <w:r>
        <w:t>Der Beschwerdeführer ist behinderungsangepasst in einem Pensum von</w:t>
      </w:r>
    </w:p>
    <w:p>
      <w:r>
        <w:rPr>
          <w:b/>
        </w:rPr>
        <w:t>E. 7</w:t>
      </w:r>
    </w:p>
    <w:p>
      <w:r>
        <w:t>). Bezüglich des linken Ellenbogens sei eine leichte bis gelegentlich mittelschwere industrielle Produktionsarbeit im Sitzen oder Stehen ganztägig zumutbar. Dabei sei auf eine körpernahe Armhaltung bei der Arbeitsverrichtung zu achten, die nicht über der Brusthöhe erfolgen solle. Vibrationsbelastungen, repetitive Beugebelastungen, Tragen und Heben von queren Lasten sowie das Besteigen von Leitern oder Gerüsten seien zu vermeiden (S. 8 unten f.). 3.2</w:t>
      </w:r>
    </w:p>
    <w:p>
      <w:r>
        <w:t>Nach Ansicht des regionalen ärztlichen Dienstes vom 8. Dezember 20 2 2 ( Urk. 11/58/4)</w:t>
      </w:r>
    </w:p>
    <w:p>
      <w:r>
        <w:t>bestünden arbeitsrelevante Funktionseinschränkungen der linken Schulter und des linken Ellenbogens. Im a ngestammt en Beruf als Gipser sei der Beschwerdeführer zu 100 % arbeitsunfähig, in einer angepasst en Tätigkeit</w:t>
      </w:r>
    </w:p>
    <w:p>
      <w:r>
        <w:t>dagegen zu 100 % arbeitsfähig. Arbeiten mit der linken Hand über Brusthöhe, in Armvorhalte, weiter Zug-, Stoss- und Drehbewegungen im linken Schultergelenk, insbesondere repetitive Tätigkeiten und das Anheben und Tragen von Lasten, insbesondere unter ungünstigen Hebeln mit rechts , seien zu vermeiden. Repetitive Beugebelastungen im Ellenbogengelenk und kraftvolle Umwendbewegungen des Vorderarms sowie Arbeiten auf Leitern oder Gerüsten seien ungeeignet. Leichte belastungsfreie und bewegungsarme Tätigkeiten im körpernahen Bereich mit angelegtem Ellenbogen seien möglich. 3. 3</w:t>
      </w:r>
    </w:p>
    <w:p>
      <w:r>
        <w:t>Gemäss diese n Beurteilungen kann d e r Beschwerdeführer somit die angestammte Tätigkeit als Gipser aufgrund seiner gesundheitlichen Beeinträchtigung nicht mehr</w:t>
      </w:r>
    </w:p>
    <w:p>
      <w:r>
        <w:t>ausüben. Ei ne behinderungsangepasste Arbeit in der beschriebenen Art ist ihm jedoch zu 100 %</w:t>
      </w:r>
    </w:p>
    <w:p>
      <w:r>
        <w:t>zumutbar. Dies wird von ihm denn auch nicht bestritten ( Urk. 1) , er macht jedoch geltend, dass er aufgrund der genannten Einschränkun gen seine Restarbeitsfähigkeit kaum verwerten k ö nn e oder er mit erheblichen Lohneinbussen rechnen m ü ss e (vgl. vorstehend E. 2.2). Es ist nachfolgend zu prüfen, wie es sich damit verhält. 4.</w:t>
      </w:r>
    </w:p>
    <w:p>
      <w:r>
        <w:rPr>
          <w:b/>
        </w:rPr>
        <w:t>E. 10</w:t>
      </w:r>
    </w:p>
    <w:p>
      <w:r>
        <w:t>IVG (frühestens) im Zeitpunkt der Geltendmachung des Leistungsanspruchs nach Artikel 29 Absatz 1 ATSG ( Abs. 1 ; vgl. vorstehend E. 1.1 ). Dementsprechend sind vorliegend die Zahlen für das Jahr 2020 massgeblich.</w:t>
      </w:r>
    </w:p>
    <w:p>
      <w:r>
        <w:t>Gemäss Arbeitsvertrag mit der A.___ AG vom 1 4. Januar 2019 ( Urk. 11/30/220-221) bezog der Beschwerdeführer einen Bruttolohn von Fr. 5'900.--. Gemäss Unfallmeldung vom 5. September 2019 ( Urk. 11/30/222) betrug der vertragliche Lohn jedoch Fr. 6' 100.-- pro Monat (vgl. Urk. 11/30/222) . Die Abweichung begründete die Arbeitgeberin mit einer zwischenzeitlich verein barten Lohnerhöhung (vgl. Urk. 11/30/ 195). Aus den Lohnabrechnungen der Monate Februar bis August 2019 ( Urk. 11/30/ 196-202 ) ist ersichtlich, dass diese Erhöhung ab April 2019 in Kraft trat (vgl. Urk. 11/30/200). Aus den Abrech nungen ergibt sich ab diesem Zeitpunkt ein Monatslohn von Fr. 6'100.-- brutto, zuzüglich eines Anteils am 1 3. Monatslohn von Fr. 508.15 , was einen Betrag von Fr. 6'608.15 ergibt. Die Spesenpauschale von Fr. 300.-- ist nicht zu berücksich tigen, denn als Erwerbseinkommen im Sinne von Art. 16 ATSG gelten (nur) die mutmasslichen Erwerbseinkommen, von denen Beiträge gemäss dem Bundes gesetz über die Alters- und Hinterlassenenversicherung (AHVG) erhoben w e rden ( Art. 25 Abs. 1 Satz 1 IVV). Art. 7 der Verordnung über die Alters- und Hinter lassenenversicherung (AHVV ), der die diesbezügliche Detailregelung enthält, sieht vor, dass Unkostenentschädigungen (Spesen) nicht Bestandteil des für die Berechnung der Beiträge massgebenden Lohnes darstellen.</w:t>
      </w:r>
    </w:p>
    <w:p>
      <w:r>
        <w:t>Gemäss</w:t>
      </w:r>
    </w:p>
    <w:p>
      <w:r>
        <w:t>Art. 9 Abs. 1 AHVV gehören Unkostenentschädigungen, also Auslagen, die dem Arbeitnehmer bei der Ausführung seiner Arbeiten entstehen, nicht zum massgebenden Lohn. Aus den bei den Akten liegenden Lohnabrechnungen geht hervor, dass die fraglichen Zahlungen als Spesenentschädigungen deklariert, auf diesen jedoch keine (AHV-)Beiträge abgerechnet beziehungsweise abgezogen w urden (vgl. Urk. 11/30/196-202 ; vgl. zum Ganzen das Urteil des Bundesgerichts 8C_31/2011 vom 6. April 2011 E. 4.3.1).</w:t>
      </w:r>
    </w:p>
    <w:p>
      <w:r>
        <w:t>Somit ist von einem hypothetischen Valideneinkommen von Fr. 79'297.80 im Jahr 2019 auszugehen ( Fr. 6'608.15 x 12) . Aufgerechnet auf das massgebliche Jahr 2020 ergibt sich bei einer Nominallohnerhöhung im Baugewerbe im Umfang von 0.8 % (Nominallohnindex, 2016-2020) ein hypothetisches Validenein kommen von Fr. 79'932.20 ( Fr. 79'297.80 x 1.008). Zugunsten des Beschwerde führers ist vom von der Beschwerdegegnerin ermittelten leicht höheren Betrag von Fr. 79'934.40 (vgl. Urk. 11/57; Urk. 2 S. 2) auszugehen. 5 .4</w:t>
      </w:r>
    </w:p>
    <w:p>
      <w:r>
        <w:t>Für die Bestimmung des Invalideneinkommens können nach der Recht - sprechung Tabellenlöhne gemäss den vom Bundesamt für Statistik periodisch herausgegebenen Lohnstrukturerhebungen (LSE) herangezogen werden (BGE 139 V 592 E. 2.3, 135 V 297 E. 5 .2, 129 V 472 E. 4.2.1 ). Dabei sind grundsätzlich die im Verfügungszeitpunkt aktuellsten veröffentlichten Tabellen der LSE zu verwenden (BGE 143 V 295 E. 4.1.3 ). Die Verwendung der Tabellen löhne ist subsidiär, das heisst deren Beizug erfolgt nur, wenn eine Ermittlung des Invalideneinkommens aufgrund und nach Massgabe der konkreten Gegeben heiten des Einzelfalles nicht möglich ist (vgl. BG E 142 V 178 E. 2.5.7, 139 V 592 E. 2.3, 135 V 297 E. 5.2; vgl. auch Meyer/Reichmuth, Bundesgesetz über die Invalidenversicherung, 3. Auflage 2014, Rn .</w:t>
      </w:r>
    </w:p>
    <w:p>
      <w:r>
        <w:t>55 und 89 zu Art. 28a, mit weiteren Hinweisen auf die Rechtsprechung).</w:t>
      </w:r>
    </w:p>
    <w:p>
      <w:r>
        <w:t>Der Beschwerdeführer stand ab 1. Oktober 2021 in einem neuen Arbeitsverhält nis, und zwar gemäss Arbeitsvertrag als Allrounder in</w:t>
      </w:r>
    </w:p>
    <w:p>
      <w:r>
        <w:t>einem Pensum von 50 %</w:t>
      </w:r>
    </w:p>
    <w:p>
      <w:r>
        <w:t>mit leichter Aufgabe ( Urk. 11/47 Ziff. 1; vgl. Urk. 11/55/62 Mitte) . Seinen Ausführungen zufolge, die er gegenüber der Kreisärztin am 9. August 2022 machte, wurde der Beschwerdeführer jedoch bei der A.___ AG wieder als Gipser in diesem Teilpensum eingesetzt ( Urk. 11/55/62), welche Tätig keit ihm jedoch klar nicht zumutbar ist , sie ist für ihn gar als schädlich zu bezeichnen . Damit kann auf dieses Arbeitsverhältnis und den verdienten Lohn als Invalideneinkommen nicht abgestellt werden. Dementsprechend hat die Beschwerdegegnerin zu Recht auf die LSE abgestell t. Sie ermittelte gestützt auf das im Jahr 2020 im Kompetenzniveau 1 von Männern erzielbare Monatseinkom men von durchschnittlich Fr. 5 '261.-- (Tabelle TA1_tirage_skill_level , Rubrik «Total») und unter Berücksichtigung der durchschnittlichen wöchentlichen Arbeitszeit von 41.7 Stunden einen hypothetischen Jahreslohn von Fr. 65'815.10 (vgl. Urk. 11/57) , was nicht zu beanstanden und unbestritten ist. 5 .5</w:t>
      </w:r>
    </w:p>
    <w:p>
      <w:r>
        <w:t>Der Vergleich des hypothetischen Valideneinkommens von Fr. 79'932.20 mit dem hypothetischen Invalideneinkommen von Fr. 65'815.10 ergibt eine Erwerbsein busse von Fr. 14'117.10 und damit einen Invaliditätsgrad von 17.6 beziehungs weise gerundet ( BGE 130 V 121) 18 % . 6. 6.1</w:t>
      </w:r>
    </w:p>
    <w:p>
      <w:r>
        <w:t>Wird das Invalideneinkommen auf der Grundlage von statistischen Durchschnittswerten ermittelt, ist der entsprechende Ausgangswert (Tabellen lohn) allenfalls zu kürzen. Damit soll der Tatsache Rechnung getragen werden, dass persönliche und berufliche Merkmale, wie Art und Ausmass der Behinde 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 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6.2</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 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 einbusse reale Chancen für eine Anstellung bestehen (Urteil des Bundesgerichts 8C_297/2018 vom 6. Juli 2018 E. 3.5 ). Ist von einem genügend breiten Spektrum an zumutbaren Verweisungstätigkeiten auszugehen, können unter dem Titel leidensbedingter Abzug grundsätzlich nur Umstände berücksichtigt werden, die auch auf einem ausgeglichenen Arbeitsmarkt (Art. 16 ATSG) als ausserordentlich zu bezeichnen sind ( Urteil des Bundesgerichts 8C_725/2020 vom 22. Dezember 2020 E. 4.4.1 mit Hinweis). 6.3</w:t>
      </w:r>
    </w:p>
    <w:p>
      <w:r>
        <w:t>Das Bundesgericht hat in seinem Urteil 8C_495 vom 11. Dezember 2019 in E. 4.2.2</w:t>
      </w:r>
    </w:p>
    <w:p>
      <w:r>
        <w:t>bei einer Versicherten mit Beeinträchtigung der dominanten Hand festgehalten, dass z war die Praxis seit BGE 126 V 75 bei versicherten Personen, die ihre dominante Hand gesundheitlich bedingt nur sehr eingeschränkt, beispielsweise als Zudienhand , einsetzen können, verschiedentlich einen Abzug von 20 oder sogar 25 % von dem gestützt auf die LSE ermittelten Invaliden einkommen als angemessen bezeichnet hat (SVR 2019 UV Nr. 7 S. 27, 8C_58/2018 E. 5.3; Urteil 9C_124/2019 vom 2 8. Mai 2019 E. E. 3.2). Das trotz der gesundheitlichen Beeinträchtigung zumutbarerweise erzielbare Einkommen sei jedoch bezogen auf einen ausgeglichenen Arbeitsmarkt zu ermitteln, der durch ein gewisses Gleichgewicht zwischen Angebot und Nachfrage nach Arbeitskräf ten gekennzeichnet ist und einen Fächer verschiedenster Tätigkeiten aufweist ( Art. 16 ATSG; BGE 134 V 64 E. 4.2.1 S. 70 f.). Der LSE-Tabellenlohn im Kompetenzniveau 1 umfass e eine Vielzahl von leichten Tätigkeiten, die den angeführten Einschränkungen der in casu versicherten Person (vgl. E. 4.2.1 hiervor) Rechnung tragen. Angesichts des bei der Versicherten ärztlich umschrie benen Zumutbarkeitsprofils sei von einem genügend breiten Spektrum an zumut baren Verweisungstätigkeiten auszugehen, die keine besondere Beanspruchung der rechten Hand hinsichtlich Kraft, Feinmotorik und Sensibilität erforder te n. Aufgrund der vorliegenden Einschränkungen der Versicherten sei somit nicht von einer faktischen Einhändigkeit auszugehen, die einen Abzug rechtfertigen würde. Zumutbar seien ihr beispielsweise Überwachungs-, Prüf- und Kontrolltätigkeiten sowie die Bedienung und Überwachung von (halb-) automatischen Maschinen oder Produktionseinheiten, die keinen Einsatz des rechten Arms und der rechten Hand voraussetzen (vgl. statt vieler Urteil 8C_730/2018 vom 1. April 2019 E. 5.2.2). Folglich könnten vorliegend unter dem Titel leidensbedingter Abzug grundsätzlich nur Umstände berücksichtigt werden, die auch auf einem ausge glichenen Arbeitsmarkt als ausserordentlich zu bezeichnen s eien; solche wurden verneint.</w:t>
      </w:r>
    </w:p>
    <w:p>
      <w:r>
        <w:t>In einem weiteren Urteil vom 9. Juli 2019 (8 C_174/2019 ) verneinte das Bundesgericht eine faktische oder annähernde Einarmigkeit beziehungsweise - händigkeit und einen entsprechenden Abzug bei einer Person, der bezüglich des adominanten Arms nur leichte Belastungen ohne stereotyp-repetitive Tätigkeiten zumutbar waren (E. 5.2). 6.4</w:t>
      </w:r>
    </w:p>
    <w:p>
      <w:r>
        <w:t>De m Beschwerdeführer sind leichte belastungsfreie und bewegungsarme Tätig keiten im körpernahen Bereich mit angelegtem ( adominanten ) Ellenbogen zu 100 % möglich. Nicht zumutbar sind zwar Arbeiten mit der linken Hand über Brusthöhe, in Armvorhalte, Zug-, Stoss- und Drehbewegungen im linken Schultergelenk, insbesondere repetitive Tätigkeiten und das Anheben und Tragen von Lasten, insbesondere unter ungünstigen Hebeln mit rechts, repetitive Beugebelastungen im Ellenbogengelenk und kraftvolle Umwendbewegungen des Vorderarms sowie Arbeiten auf Leitern oder Gerüsten.</w:t>
      </w:r>
    </w:p>
    <w:p>
      <w:r>
        <w:t>Es verbleibt jedoch eine Einsatzmöglichkeit des linken herabhängenden und auch angewinkelten Arm s beispielsweise auch im Rahmen einer Halte hand , es kann daher nicht von einer Einarmigkeit gesprochen werden. In Anbetracht der strengen höchstrichterlichen Rechtsprechung und der verbleibenden Einsatzmöglichkeiten des linken adominanten Arms sowie der unbeeinträchtigten Funktion des dominanten rechten Arms in einem vollen Pensum ist es noch im Ermessen der Beschwerde gegnerin zu sehen, keinen Abzug vom Tabellenlohn zu gewähre n . Es liegen keine Umstände vor , die auch auf einem ausgeglichenen Arbeitsmarkt als ausser ordentlich zu bezeichnen wären.</w:t>
      </w:r>
    </w:p>
    <w:p>
      <w:r>
        <w:t>Damit bleibt es beim festgestellten Invaliditäts grad von 18 % . 7 . 7 .1</w:t>
      </w:r>
    </w:p>
    <w:p>
      <w:r>
        <w:t>Der Umschulungsanspruch setzt grundsätzlich eine Mindesterwerbseinbusse von rund 20 % in den für die versicherte Person ohne zusätzliche Ausbildung offen stehenden, noch zumutbaren Erwerbstätigkeiten voraus. Davon kann namentlich bei jungen Versicherten mit entsprechend langer verbleibender Aktivitätsdauer abgewichen werden, wenn es sich bei den ohne Umschulung zumutbaren angepassten Tätigkeiten um unqualifizierte Hilfsarbeiten handelt, welche im Vergleich zur erlernten Tätigkeit qualitativ nicht als annähernd gleichwertig bezeichnet werden können ( Urteil des Bundesgerichts 9C_15/2022 vom 1 9. Dezember 2022 E. 3.2 mit Hinweisen). 7 .2</w:t>
      </w:r>
    </w:p>
    <w:p>
      <w:r>
        <w:t>Der Schwellenwert von "rund" 20 % ist als Richtschnur zu verstehen. Er rührt daher, dass die Leistungspflicht der Invalidenversicherung für Eingliederungs massnahmen unter Berücksichtigung der gesamten tatsächlichen und rechtlichen Umstände des Einzelfalles in einem angemessenen Verhältnis zum angestrebten Eingliederungsziel stehen muss. Vor allem mit Blick darauf, dass die Umschulung auf eine neue Erwerbstätigkeit regelmässig erhebliche Kosten auslöst, rechtfertigt es sich, den entsprechenden Anspruch davon abhängig zu machen, dass ein erheblicher behinderungsbedingter Einkommensverlust gegeben ist. Die Fest legung dieses Werts auf ca. 20 % trägt dem Umstand Rechnung, dass bei wesent lich tieferen Invaliditätsgraden die mit einer Umschulung verbundenen Kosten die auszugleichende Erwerbseinbusse regelmässig um ein Vielfaches übersteigen ( BGE 130 V 488 E. 4.3.2). Demnach gilt bei der Umschulung nach Art. 17 IVG, anders als beim Anspruch auf eine Invalidenrente (vgl. Art. 28 Abs. 2 IVG), keine absolute Erheblichkeitsgrenze . Der in diesem Zusammenhang verwendete Begriff "Richtwert" oder "Richtschnur" ist so zu verstehen, dass ein Leistungsanspruch grundsätzlich auch dann bejaht werden kann, wenn der Invaliditätsgrad gering fügig unter 20 % liegt. Mit anderen Worten ist in solchen Fällen nicht die reine Vermögenseinbusse massgeblich. Vielmehr hat anhand des konkreten Einzelfalles eine prognostische Abwägung zu erfolgen. Dabei ist zu beurteilen, ob ein Anspruch auf Umschulungsmassnahmen mittel- und langfristig insgesamt als verhältnismässig angesehen werden kann oder nicht. Denn angesichts eines nicht nennenswert unterschrittenen Schwellenwerts darf nicht zum v ornherein davon ausgegangen werden, es liege ein wirtschaftliches Ungleichgewicht zwischen den Eingliederungskosten und der Eingliederungswirksamkeit vor, sodass eine Umschulung zu Lasten der Invalidenversicherung keiner genaueren Prüfung bedarf ( Urteil des Bundesgerichts 9C_15/2022 vom 1 9. Dezember 2022 E . 6 .2 mit Hinweisen ) . 7 .3</w:t>
      </w:r>
    </w:p>
    <w:p>
      <w:r>
        <w:t>Das Alter der versicherten Person lässt , wie erwähnt, eine Abweichung von der grundsätzlich vorausgesetzten Mindesterwerbseinbusse von ca. 20 % zu (SVR 2021 IV Nr. 72 S. 240, 9C_623/2020 E. 4.2). Die Ausnahme, wonach sich der Leistungsanspruch nicht am Schwellenwert zu orientieren hat, sondern einzig das Kriterium der prognostisch qualitativen Gleichwertigkeit des erlernten Berufs einerseits und der nach Eintritt des Gesundheitsschadens noch zumutbaren (Hilfs-) Tätigkeit andererseits über den Anspruch entscheidet, betrifft namentlich "junge Versicherte". Gemeint sind damit versicherte Personen, die eher am Anfang ihres Erwerbslebens stehen, ihren erlernten Beruf aufgrund eines Gesundheitsschadens nicht mehr ausüben können und ohne Umschulungs - massnahmen nur noch für unqualifizierte Hilfstätigkeiten einsetzbar sind . Bei einem älteren Versicherten müsste der Richtwert zumindest annähernd erreicht sein, damit eine Umschulung überhaupt in Betracht fallen würde ( vgl. Urteil des Bundesgerichts 9C_15/2022 vom 1 9. Dezember 2022 E. 6. 3 mit Hinweisen ). Dies ist vorliegend erfüllt , ist doch mit 18 % der Richtwert annähernd erreicht . 7 .4</w:t>
      </w:r>
    </w:p>
    <w:p>
      <w:r>
        <w:t>I m relevanten Zeitpunkt der Gesuchseinreichung</w:t>
      </w:r>
    </w:p>
    <w:p>
      <w:r>
        <w:t>im Jahr 2020 (vgl. vorstehend E. 1.1) war der 1970 geborene Beschwerdeführer 50 Jahre alt. Es verbl ieb ihm somit noch eine Erwerbsdauer von 15 Jahren , womit er im Unterschied zu den von der Rechtsprechung anerkannten Ausnahmefällen zwar nicht mehr am Anfang, jedoch noch in der Mitte seines Erwerbslebens</w:t>
      </w:r>
    </w:p>
    <w:p>
      <w:r>
        <w:t>steht .</w:t>
      </w:r>
    </w:p>
    <w:p>
      <w:r>
        <w:t>Dies schliesst jedoch eine Umschulung - wie auch andere berufliche Massnahmen - nicht aus, gibt es für eine Umschulung doch grundsätzlich keine starre Altersgrenze. Vielmehr ist das Alter im Rahmen einer Prognose und Abwägung in die Beurteilung des Anspruchs mit einzubeziehen.</w:t>
      </w:r>
    </w:p>
    <w:p>
      <w:r>
        <w:t>Zudem sind 15 verbleibende Erwerbsjahre eine nicht unerhebliche Zeit. Die Beschwerdegegnerin hat jedoch weder</w:t>
      </w:r>
    </w:p>
    <w:p>
      <w:r>
        <w:t>konkrete Massnahmen wie das vorgeschlagene Handelsdiplom oder eine Umschulung zum Technischen Kaufmann noch die (weiteren) anspruchsspezifischen Voraussetzun gen , insbesondere die Frage der Gleichwertigkeit, geprüft , sondern den Anspruch einzig gestützt auf das Nichterreichen der Mindesterwerbseinbusse von 20 % verneint (vgl. Urk. 2 S. 2) , was aufgrund des Gesagten (vgl. vorstehend E. 7 .2) nicht genügt . Erforderlich ist eine prognostische Abwägung im Einzelfall unter Einbezug aller Kriterien.</w:t>
      </w:r>
    </w:p>
    <w:p>
      <w:r>
        <w:t>Mithin ist die Beschwerdegegnerin ihrer Abklärungs- und Begründungspflicht ( Art. 43 ATSG; Art. 29 Abs. 2 der Bundesverfassung) nicht genügend nachgekommen. 8 . 8 .1</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w:t>
      </w:r>
    </w:p>
    <w:p>
      <w:r>
        <w:t>8 .2</w:t>
      </w:r>
    </w:p>
    <w:p>
      <w:r>
        <w:t>Es ist angezeigt, die Sache an die Beschwerdegegnerin zurückzuweisen, damit sie den Anspruch des Beschwerdeführers auf eine Umschulung oder gegebenenfalls andere geeignete berufliche Massnahmen im Sinne der Erwägungen erneut prüfe und hernach erneut entscheide. In diesem Sinne ist die Beschwerde gutzuheissen. 9 .</w:t>
      </w:r>
    </w:p>
    <w:p>
      <w:r>
        <w:t>9 .1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 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9 .2</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der vertretene Beschwerdeführer Anspruch auf eine Parteient schädigung hat. 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Sozialversicherungsgericht ( GebV</w:t>
      </w:r>
    </w:p>
    <w:p>
      <w:r>
        <w:t>SVGer ) den Zeitaufwand und die Barauslagen.</w:t>
      </w:r>
    </w:p>
    <w:p>
      <w:r>
        <w:t>Unter Berücksichtigung dieser Kriterien ist die Entschädigung ermessensweise auf Fr. 1'800.-- (inkl. Barauslagen und Mehrwertsteuer) festzusetzen. Das Gericht erkennt: 1.</w:t>
      </w:r>
    </w:p>
    <w:p>
      <w:r>
        <w:t>Die Beschwerde wird in dem Sinne gutgeheissen, dass die angefochtene Verfügung vom 3. März 2023 aufgehoben und die Sache an die Sozialversicherungsanstalt des Kantons Zürich, IV-Stelle, zurückgewiesen wird, damit diese, nach erfolgter Abklärung im Sinne der Erwägungen, neu über den Anspruch auf berufliche Massnahmen entscheide .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 schädigung von Fr. 1’800 .-- (inkl. Barauslagen und MWST) zu bezahlen. 4.</w:t>
      </w:r>
    </w:p>
    <w:p>
      <w:r>
        <w:t>Zustellung gegen Empfangsschein an: - Rechtsanwältin Britta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