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IV.2023.00181 vom 14. März 2024</w:t>
      </w:r>
    </w:p>
    <w:p>
      <w:r>
        <w:t>ZH Sozialversicherungsgericht, 2024-03-14, DE</w:t>
      </w:r>
    </w:p>
    <w:p>
      <w:r>
        <w:rPr>
          <w:b/>
        </w:rPr>
        <w:t xml:space="preserve">Quelle: </w:t>
      </w:r>
      <w:r>
        <w:t>https://mcp.opencaselaw.ch/entscheid/zh_sozialversicherungsgericht_IV.2023.00181</w:t>
      </w:r>
    </w:p>
    <w:p>
      <w:r>
        <w:t>FR: ZH_SOZIALVERSICHERUNGSGERICHT IV.2023.00181 du 14 mars 2024</w:t>
      </w:r>
    </w:p>
    <w:p>
      <w:r>
        <w:t>IT: ZH_SOZIALVERSICHERUNGSGERICHT IV.2023.00181 del 14 marzo 2024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Bei erwerbstätigen Versicherten ist der Invaliditätsgrad gemäss Art. 16 ATSG in Verbindung mit Art. 28a Abs. 1 des Bundesgesetzes über die Invalidenver sicherung ( IVG )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 einkommen ziffernmässig möglichst genau ermittelt und einander gegenüber gestellt werden, worauf sich aus der Einkommensdifferenz der Invaliditätsgrad bestimmen lässt (sog. allgemeine Methode des Einkommensvergleichs; BGE 130 V 343 E. 3.4.2, 128 V 29 E. 1). 1.</w:t>
      </w:r>
    </w:p>
    <w:p>
      <w:r>
        <w:rPr>
          <w:b/>
        </w:rPr>
        <w:t>E. 3</w:t>
      </w:r>
    </w:p>
    <w:p>
      <w:r>
        <w:t>Die einjährige Wartezeit im Sinne von Art. 28 Abs. 1 lit . b IVG gilt in jenem Zeitpunkt als eröffnet, in welchem eine deutliche Beeinträchtigung der Arbeits fähigkeit eingetreten ist. Als erheblich in diesem Sinne gilt bereits eine Arbeits unfähigkeit von 20 % ( vgl. Urteil des Bundesgerichts 8C_463/2007 vom 28. April 2008 E. 7.2.2</w:t>
      </w:r>
    </w:p>
    <w:p>
      <w:r>
        <w:t>in fine</w:t>
      </w:r>
    </w:p>
    <w:p>
      <w:r>
        <w:t>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entsprechender Feststellung oder gar Ermahnung des Arbeitgebers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 nischen Einschätzung, die ordentlicherweise echtzeitlicher Natur ist. Der Zeit punkt des Eintritts der Arbeitsunfähigkeit muss mit dem im Sozialversiche rungs recht üblichen Beweisgrad der überwiegenden Wahrscheinlichkeit nachgewiesen sein. Dieser Nachweis darf nicht durch nachträgliche erwerbliche oder medi zi nische Annahmen und spekulative Überlegungen ersetzt werden (Urteil des Bundesgerichts 8C_204/2012 vom 19. Juli 2012 E. 3.2 mit weiteren Hinweisen). 2.</w:t>
      </w:r>
    </w:p>
    <w:p>
      <w:r>
        <w:t>2.1</w:t>
      </w:r>
    </w:p>
    <w:p>
      <w:r>
        <w:t>Die Beschwerdegegnerin hielt in der angefochtenen Verfügung vom 24. Februar 2023 (Urk. 2) fest, sie habe den Beschwerdeführer zunächst mit einem Belast barkeitstraining unterstützt. Während dieser Zeit habe er vom 16. November 2021 bis 15. Februar 2022 ein Taggeld bezogen. In der Tätigkeit als selbständiger Ausstellungsmacher/Kommunikationsberater sei er seit dem 10. Juni 2020 zu 70 % arbeitsunfähig geschrieben worden . Das gesetzliche Wartejahr habe mit diesem Datum zu laufen begonnen , weshalb ab Ende Wartejahr per Juni 2021 der Rentenanspruch zu prüfen sei . Der Besch werdeführer sei schliesslich in der bisherigen Tätigkeit per 21. Juni 2021 zu 100 % arbeitsunfähig geschrieben worden. Da er den ganzen Monat Januar 2022 ein Taggeld erhalten habe, sei der Rentenanspruch ab dem 1. Februar 2022 entstanden. Nach Einschätzung durch die Beschwerdegegnerin könne er kein Erwerbseinkommen mehr generieren. Es sei daher von einem Invaliditätsgrad von 100 % auszugehen (S. 4). 2.2</w:t>
      </w:r>
    </w:p>
    <w:p>
      <w:r>
        <w:t>Der Beschwerdeführer brachte in der Replik vor , die Beschwerde richte sich zum einen gegen die Festlegung des Wartejahres und zum andern gegen die B erech nungsgrundlagen der Invalidenrente, insbesondere gegen das massge bende durchschnittliche Jahreseinkommen von Fr. 49'980. -- und gegen die betrags mässige Berechnung der Invalidenrente von Fr. 1'940.--. Da die korrekte Festlegung der massgeblichen Erwerbsunfähigkeit für seine Ansprüche gegen die Pensionskasse seines damaligen Arbeitgebers entscheidend sei, und da die korrekte Berechnung des Jahreseinkommens Einfluss auf die Rentenhöhe habe, habe er ein Rechtschutzinteress e.</w:t>
      </w:r>
    </w:p>
    <w:p>
      <w:r>
        <w:t>Weiter führte er aus, er sei bereits seit 2005 beziehungsweise spätestens seit dem 19. November 2011 gesundheitlich massgeblich eingeschränkt gewesen, ohne dass er wieder eine volle Erwerbs f ä h igkeit e rreicht hätte</w:t>
      </w:r>
    </w:p>
    <w:p>
      <w:r>
        <w:t>(Urk. 16 S. 3 Rz . 3). Die Beschwerdegegnerin gehe davon aus, dass er seit dem 10. Juni 2020 massgeblich erwerbsunfähig sei. Zu diesem Zeitpunkt sei erstmals ein adultes ADHS diagnostiziert worden. Tatsächlich sei er aber schon vor diesem Datum im Arbeits- und Verdienstleben nachweisbar eingeschränkt gewesen . Seit dem Beginn eines Studiums an der Universität Y.___ 1994</w:t>
      </w:r>
    </w:p>
    <w:p>
      <w:r>
        <w:t>bis zum 31. Dezember 2012 sei er bei der Z.___</w:t>
      </w:r>
    </w:p>
    <w:p>
      <w:r>
        <w:t>tätig gewesen. Ab 2003 sei er vollzeitlich angestellt gewesen. Ab 2007 habe er einen einigermassen akzeptablen Jahreslohn von Fr. 81'600.-- erzielt</w:t>
      </w:r>
    </w:p>
    <w:p>
      <w:r>
        <w:t>(S. 4 Rz .</w:t>
      </w:r>
    </w:p>
    <w:p>
      <w:r>
        <w:rPr>
          <w:b/>
        </w:rPr>
        <w:t>E. 6</w:t>
      </w:r>
    </w:p>
    <w:p>
      <w:r>
        <w:t>Zusammenfassend fehlt es dem Beschwerdeführer an einem Rechtsschutzinteresse für die Feststellung der massgeblichen Erwerbsunfähigkeit beziehungsweise de r</w:t>
      </w:r>
    </w:p>
    <w:p>
      <w:r>
        <w:t>Eröffnung des Wartejahres auf einen Zeitpunkt vor dem 10. Juni 202 0 , weshalb insofern auf die Beschwerde nicht einzutreten ist . Die Beschwerdegegnerin stellte für die betragsmässige Rentenberechnung sodann zu Recht auf ein durch schnittliche s Jahreseinkommen von Fr. 48'756.-- ab dem 1. Februar 2022 und von Fr. 49'980.-- ab dem 1. Januar 2023 ab (vgl. Urk. 26/1 S. 6 Mitte). Die Rentenberechnung erfolgte somit korrekt.</w:t>
      </w:r>
    </w:p>
    <w:p>
      <w:r>
        <w:t>Die angefochtene Verfügung vom 24. Februar 2023 erweist sich nach dem Gesagten als rechtens. Die Beschwerde ist daher abzuweisen , soweit darauf einzutreten ist .</w:t>
      </w:r>
    </w:p>
    <w:p>
      <w:r>
        <w:rPr>
          <w:b/>
        </w:rPr>
        <w:t>E. 7</w:t>
      </w:r>
    </w:p>
    <w:p>
      <w:r>
        <w:t>.4</w:t>
      </w:r>
    </w:p>
    <w:p>
      <w:r>
        <w:t>Der Beschwerdeführer ist auf § 16 Abs. 4 GSVGer hinzuweisen, wonach er zur Nachzahlung der Auslagen verpflichtet werden kann, sofern er dazu in der Lage ist. Das Gericht beschliesst :</w:t>
      </w:r>
    </w:p>
    <w:p>
      <w:r>
        <w:t>In Bewilligung des Gesuchs vom 27. März 2023 wird dem Beschwerdeführer die un entgeltliche Prozessführung gewährt , und es wird ihm Rechtsanwalt Urs P. Keller, Zollikon , als unentgeltlicher Rechtsvertreter für das vorliegende Verfahren bestellt. und erkennt: 1.</w:t>
      </w:r>
    </w:p>
    <w:p>
      <w:r>
        <w:t>Die Beschwerde wird abgewiesen , soweit darauf eingetreten wird .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Urs P. Keller, Zollikon, wird mit Fr. 1’937 . 35 (inkl. Barauslagen und MWST) aus der Gerichtskasse entschädigt. Der Beschwerdeführer wird auf die Nachzahlungspflicht gemäss § 16 Abs. 4 GSVGer hingewiesen. 4.</w:t>
      </w:r>
    </w:p>
    <w:p>
      <w:r>
        <w:t>Zustellung gegen Empfangsschein an: - Rechtsanwalt Urs P. Keller , unter Beilage</w:t>
      </w:r>
    </w:p>
    <w:p>
      <w:r>
        <w:t>einer Kopie von Urk. 26</w:t>
      </w:r>
    </w:p>
    <w:p>
      <w:r>
        <w:t>- Sozialversicherungsanstalt des Kantons Zürich, IV-Stelle , unter Beilage einer Kopie von Urk. 26 -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