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IV.2023.00058 vom 14. Juni 2023</w:t>
      </w:r>
    </w:p>
    <w:p>
      <w:r>
        <w:t>ZH Sozialversicherungsgericht, 2023-06-14, DE</w:t>
      </w:r>
    </w:p>
    <w:p>
      <w:r>
        <w:rPr>
          <w:b/>
        </w:rPr>
        <w:t xml:space="preserve">Quelle: </w:t>
      </w:r>
      <w:r>
        <w:t>https://mcp.opencaselaw.ch/entscheid/zh_sozialversicherungsgericht_IV.2023.00058</w:t>
      </w:r>
    </w:p>
    <w:p>
      <w:r>
        <w:t>FR: ZH_SOZIALVERSICHERUNGSGERICHT IV.2023.00058 du 14 juin 2023</w:t>
      </w:r>
    </w:p>
    <w:p>
      <w:r>
        <w:t>IT: ZH_SOZIALVERSICHERUNGSGERICHT IV.2023.00058 del 14 giugno 2023</w:t>
      </w:r>
    </w:p>
    <w:p>
      <w:pPr>
        <w:pStyle w:val="Heading2"/>
      </w:pPr>
      <w:r>
        <w:t>Erwägungen</w:t>
      </w:r>
    </w:p>
    <w:p>
      <w:r>
        <w:rPr>
          <w:b/>
        </w:rPr>
        <w:t>E. 1</w:t>
      </w:r>
    </w:p>
    <w:p>
      <w:r>
        <w:t>X.___ , geboren 1969, meldete sich am 28. Dezember 2017 unter Hinweis auf diverse Rückenprobleme mit Ausstrahlung ins rechte Bein bis zu den Zehen bei der Sozialversicherungsanstalt des Kantons Zürich, IV-Stelle, zum Leistungsbezug an (Urk. 8/3). Die IV-Stelle tätigte daraufhin berufliche und medizinische Abklärungen (Urk. 8/9-11, 17, 21, 24, 28 , 33 ). Am 6. Juni 2018 erteilte sie dem Versicherten Kostengutsprache für ein Belastbarkeitstraining vom 11. Juni 2018 bis 1 0. September 2018 (Urk. 8/35). Im Anschluss daran erteilte sie ihm sodann Kostengutsprache für ein Aufbautraining vom 11. September 2018 bis im März 2019 (Urk. 8/50), welches nach einem Wechsel der Durchführungs stelle per 1. November 2018 (Urk. 8/55) schliesslich auf Wunsch des Versicherten per 31. Dezember 2018 frühzeitig beendet wurde (Urk. 8/67). Nach Aktualisierung der medizinischen Aktenlage (Urk. 8/80, 84, 89, 93, 96-99 , 105, 112, 115, 133, 145) stellte die IV-Stelle dem Versicherten mit Vorbescheid vom 3. November 2020 die Abweisung seines Leistungsbegehrens in Aussicht (Urk. 8/148). Dagegen erhob der Versicherte am 3. Dezember 2020 Einwand (Urk. 8/150) .</w:t>
      </w:r>
    </w:p>
    <w:p>
      <w:r>
        <w:t>Nachdem die IV-Stelle weitere Abklärungen getätigt hatte (Urk. 8/152, 159, 162, 164, 165, 169) ordnete sie</w:t>
      </w:r>
    </w:p>
    <w:p>
      <w:r>
        <w:t>eine polydisziplinäre medizinische Abklärung durch die Begut achtungsstelle Y.___</w:t>
      </w:r>
    </w:p>
    <w:p>
      <w:r>
        <w:t>GmbH an (Urk. 8/183), welche ihr Gutachten am 23. Juli 2022 erstattete (Urk. 8/201). Mit Vorbescheid vom 16. August 2022 stellte sie dem Versicherten die Zusprache einer vom 1. Januar 2019 bis 30. Juni 2021 befristeten ganzen Rente sowie einer ab 1. Juli 2021 unbefristeten Viertelsrente in Aussicht (Urk. 8/206), wogegen der Versicherte am 23. August 2022 Einwand erhob (Urk. 8/211). Am 28. Dezember 2022 verfügte die IV-Stelle wie vorbeschieden (Urk. 8/220, 223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w:t>
      </w:r>
    </w:p>
    <w:p>
      <w:r>
        <w:rPr>
          <w:b/>
        </w:rPr>
        <w:t>E. 1.4</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 122/2020 vom 26 . Februar 2021 E. 2 ).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 log anwendbaren Art. 88a Abs. 1 IVV festzusetzenden – Zeitpunkt der Anspruchsänderung (vgl. BGE 125 V 413 E. 2d mit Hinweisen; vgl. statt vieler: Urteile des Bundesgerichts 8C_375/2017 vom 25. August 2017 E. 2.2 und 8C_350/2013 vom 5. Juli 2013 E. 2.2 mit Hinweis ).</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Dagegen erhob der Versicherte am 27. Januar 2023 Beschwerde und beantragte, es sei die Verfügung vom 28. Dezember 2022 aufzuheben und es sei ihm für die Zeit ab 1. Januar 2019 (unbefristet) eine ganze Rente zuzusprechen bzw. es sei für die Zeit ab 1. Juli 2021 von einer Herabsetzung auf eine Viertelsrente abzusehen. Eventualiter sei die Sache zur weiteren Abklärung und Neubeurtei lung an die Beschwerdegegnerin zurückzuweisen (Urk. 1 S. 2). Mit Beschwerde antwort vom 8. März 2022 schloss die Beschwerdegegnerin auf Abweisung der Beschwerde (Urk. 6), was dem Beschwerdeführer mit Verfügung vom 10. März 2023 zur Kenntnis gebracht wurde (Urk. 9). Mit Eingaben vom 6. April 2023 sowie vom 28. April 2023 legte der Beschwerdeführer neue Arztberichte auf (Urk. 8/10-13), welche der Beschwerdegegnerin mit Verfügung vom 3. Mai 2023 zur Kenntnisnahme zugestellt wurden (Urk. 14). Das Gericht zieht in Erwägung: 1.</w:t>
      </w:r>
    </w:p>
    <w:p>
      <w:r>
        <w:rPr>
          <w:b/>
        </w:rPr>
        <w:t>E. 2.1</w:t>
      </w:r>
    </w:p>
    <w:p>
      <w:r>
        <w:t>Die Beschwerdegegnerin erwog im angefochtenen Entscheid, die medizinischen Abklärungen hätten ergeben, dass der Beschwerdeführer seit August 2017 in seiner Arbeitsfähigkeit eingeschränkt sei. Nach Ablauf des Wartejahres per August 2018 habe in sämtlichen Tätigkeiten eine volle Arbeitsunfähigkeit bestanden, wobei diese Einschränkung dem Invaliditätsgrad entspreche. Da der Beschwerdeführer bis 31. Dezember 2018 IV-Taggelder bei laufenden Eingliede rungsmassnahmen bezogen habe, habe dieser erst ab Januar 2019 Anspruch auf eine ganze Rente. Ab März 2021 könne ihm eine angepasste Tätigkeit (leicht bis mittelschwere Belastungen von Wirbelsäule und Schultergürtel, wechselbelastend und mit Möglichkeit zum Positionswechsel) zu 60 % zugemutet werden. In einer solchen Tätigkeit könne der Beschwerdeführer ein Jahreseinkommen von Fr. 41'064.65 erzielen. Bei einem Valideneinkommen von Fr. 68'162.85 erg e be sich ein Invaliditätsgrad von 40 %. Die gesundheitliche Verbesserung werde drei Monate nach Eintritt berücksichtigt, weshalb die ganze Rente per Juli 2021 auf eine Viertelsrente herabgesetzt werde. Mit dem ausgewiesenen Belastungsprofil und der gegebenen Leistungsfähigkeit sei es durchaus realistisch, dass es in der freien Wirtschaft Tätigkeiten gebe, welchen er nachgehen könne. Da die Einschränkungen im Belastungsprofil und die vermehrten Ruhe- und Erholungs pausen in der 60%igen Arbeitsfähigkeit bereits berücksichtigt worden seien, sei kein leidensbedingter Abzug angezeigt (Urk. 2).</w:t>
      </w:r>
    </w:p>
    <w:p>
      <w:r>
        <w:rPr>
          <w:b/>
        </w:rPr>
        <w:t>E. 2.2</w:t>
      </w:r>
    </w:p>
    <w:p>
      <w:r>
        <w:t>Der Beschwerdeführer machte demgegenüber im Wesentlichen gelte nd, sein Gesundheitszustand habe sich nicht verbessert und es bestehe weiterhin eine 100%ige Arbeitsunfähigkeit. Bei dem von den Gutachtern umschriebenen, derart eingeschränkten Zumutbarkeitsprofil bestehe sodann keine Aussicht darauf, eine Anstellung zu finden und seine allfällige Restarbeitsfähigkeit zu verwerten. Selbst wenn aber von einer Verwertbarkeit der Restarbeitsfähigkeit ausgegangen würde, sei ihm angesichts des derart eingeschränkten Zumutbarkeitsprofils sowie des Umstands, dass er auch eine derartige Tätigkeit nur noch in Teilzeit ausüben könne, ein le i densbedingter Abzug von 25 % zu gewähren (Urk. 1). 3. 3.1</w:t>
      </w:r>
    </w:p>
    <w:p>
      <w:r>
        <w:t>Im Y.___ -Gutachten vom 23. Juli 2022 wurden folgende Diagnosen mit Auswir kung auf die Arbeitsfähigkeit aufgeführt (Urk. 8/201/9): - Chronisches, lumbalbetontes, panvertebrales Schmerzsyndrom (ICD-10 M53.8) - Residuelles radikuläres Syndrom S1 rechts (ICD-10 G54.4) - Subjektiv: Massive Lumbalschmerzen mit Ausstrahlung in das rechte Bein , starke Schmerzen auch in kranialen Wirbelsäulenabschnitten bis zum Nacken - Aktuelles Röntgen: mässige degenerative Veränderungen der LWS mit Osteochondrose L4/5 sowie Nearthrose L5/S1 beidseits, ausgeprägte Hyperkyphose der BWS bei Verdacht auf Wirbelkörperdeformationen nach Morbus Scheuermann im unteren Abschnitt, Fehlhaltung mit massiver Kopfprotraktion - Klinik : spontane Rumpf- und Kopfbewegungen nicht höhergradig vermindert, bei direkter Prüfung keinerlei Bewegungseffekt in allen Wirbelsäulenabschnitten - Persistierende mässiggradige Impingementsymptomatik Schulter links (ICD-10 M75.4) - Status nach Schulterarthroskopie, subacromialer Dekompression und Supraspinatus-Rekonstruktion 11/2019 - Persistierende Impingementsymptomatik mit möglicher partieller Frozen-Shoulder und mit persistierender AC-Arthropathie Schulter rechts (ICD-10 M75.0) - Status nach Schulterarthroskopie, Bizepssehnentenodese , Supraspinatus-Rekonstruktion, subacromialer Kompression und AC-Gelenksresektion 12/2020 Als Diagnosen ohne Auswirkung auf die Arbeitsfähigkeit wurden folgende Diagnosen genannt (Urk. 8/201/9): - Anamnestisch leichtes Carpaltunnelsyndrom links (ICD-10 G56.0) - Residuelle Fazialisparese links (ICD-10 G51.0) ca. 1988 - Verdacht auf Mischkopfschmerz (ICD-10 G44.8) mit Migränekomponente 3.2</w:t>
      </w:r>
    </w:p>
    <w:p>
      <w:r>
        <w:t>Aus rein allgemeininternistischer Sicht bestehe eine uneingeschränkte Arbeits- und Leistungsfähigkeit (Urk.</w:t>
      </w:r>
    </w:p>
    <w:p>
      <w:r>
        <w:rPr>
          <w:b/>
        </w:rPr>
        <w:t>E. 6</w:t>
      </w:r>
    </w:p>
    <w:p>
      <w:r>
        <w:t>ATSG) gewesen sind; und c.</w:t>
      </w:r>
    </w:p>
    <w:p>
      <w:r>
        <w:t>nach Ablauf dieses Jahres zu mindestens 40 % invalid ( Art.</w:t>
      </w:r>
    </w:p>
    <w:p>
      <w:r>
        <w:rPr>
          <w:b/>
        </w:rPr>
        <w:t>E. 6.1</w:t>
      </w:r>
    </w:p>
    <w:p>
      <w:r>
        <w:t>Die Beschwerdegegnerin ging gestützt auf die Stellungnahme von RAD-Arzt Dr. B.___ vom 27. Dezember 2019 (Urk.</w:t>
      </w:r>
    </w:p>
    <w:p>
      <w:r>
        <w:rPr>
          <w:b/>
        </w:rPr>
        <w:t>E. 6.2.1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6.2.2</w:t>
      </w:r>
    </w:p>
    <w:p>
      <w:r>
        <w:t>Gemäss bundesgerichtlicher Rechtsprechung ist für die Ermittlung des Validen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fortgesetzt worden wäre. Ausnahmen müssen mit überwiegender Wahrschein lichkeit erstellt sein (BGE 145 V 141 E. 5.2.1, 139 V 28 E. 3.3.2, 135 V 58 E. 3.1, 134 V 322 E. 4.1).</w:t>
      </w:r>
    </w:p>
    <w:p>
      <w:r>
        <w:rPr>
          <w:b/>
        </w:rPr>
        <w:t>E. 6.2.3</w:t>
      </w:r>
    </w:p>
    <w:p>
      <w:r>
        <w:t>Für die Bestimmung des Invalideneinkommens können nach der Rechtsprechung Tabellenlöhne gemäss den vom Bundesamt für Statistik periodisch herausge gebenen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rPr>
          <w:b/>
        </w:rPr>
        <w:t>E. 6.3.1</w:t>
      </w:r>
    </w:p>
    <w:p>
      <w:r>
        <w:t>Zur Ermittlung des Valideneinkommens stellte die Beschwerdegegnerin auf den vom Beschwerdeführer zuletzt erzielten Stundenlohn von Fr. 30.97 (Basislohn Fr. 28.28 + 13. Monatslohn Fr. 2.69; vgl. Urk.</w:t>
      </w:r>
    </w:p>
    <w:p>
      <w:r>
        <w:rPr>
          <w:b/>
        </w:rPr>
        <w:t>E. 6.3.2</w:t>
      </w:r>
    </w:p>
    <w:p>
      <w:r>
        <w:t>Da der Beschwerdeführer seine Restarbeitsfähigkeit nicht ausschöpft, sind für die Bemessung des Invalideneinkommens Tabellenlöhne heranzuziehen. Gemäss gefestigter bundesgerichtlicher Rechtsprechung (vgl. etwa Urteil des Bundes gerichts 8C_458/2017 vom 6. August 2018 E. 6.2.3) sowie unter Berücksichtigung des Belastbarkeitsprofils, ist vorliegend auf die Monatslöhne gemäss LSE 2020 , Tabelle TA1, Zeile «Total Privater Sektor», für Männer, Kompetenzniveau 1, abzustellen. Unter Angleichung an die betriebsübliche Arbeitszeit von 41.7 Stunden (vgl. BFS, Tabelle T 03.02.03.01.04.01 Betriebsübliche Arbeitszeit nach Wirtschaftsabteilungen, TOTAL) sowie unter Berücksichtigung der Nominallohn entwicklung (vgl. BFS, Tabelle T 39, Entwicklung der Nominallöhne, der Konsumentenpreise und der Reallöhne, Männer) resultiert</w:t>
      </w:r>
    </w:p>
    <w:p>
      <w:r>
        <w:t>bei einer zumutbaren Arbeitsfähigkeit von 60 % per 2021 ein Jahreseinkommen von gerundet Fr. 39‘197.-- (Fr. 5' 261 .-- : 40 x 41.7 x 12 : 22 98 [2 020 ] x 2281 [2021] x 0.6 ).</w:t>
      </w:r>
    </w:p>
    <w:p>
      <w:r>
        <w:t>Der Beschwerdeführer macht den maximal zulässigen leidensbedingten Abzug von 25 % geltend, da das Belastungsprofil derart eng umschrieben und ihm selbst in einer angepassten Tätigkeit lediglich eine Teilzeittätigkeit zumutbar sei (Urk. 1 S. 9). Die Beschwerdegegnerin gewährte keinen Leidensabzug, mit der Begrün dung, die gesundheitlichen Einschränkungen seien schon im Rahmen des Belastungsprofils und die vermehrten Ruhe- und Erholungspausen im Sinne einer reduzierten Arbeitsfähigkeit von 60 % berücksichtigt worden (Urk. 2). Es trifft zwar zu, dass bereits in der Beurteilung der medizinischen Arbeitsfähigkeit enthaltene gesundheitliche Einschränkungen nicht zusätzlich in die Bemessung des leidensbedingten Abzugs einfliessen dürfen. Eine solche unzulässige doppelte Anrechnung desselben Gesichtspunktes liegt jedoch nicht vor, wenn beim Abzug berücksichtigt wird, dass die versicherte Person selbst im Rahmen körperlich leichter Hilfsarbeitertätigkeiten in ihrer Leistungsfähigkeit eingeschränkt ist (vgl. E. 6.2.3) .</w:t>
      </w:r>
    </w:p>
    <w:p>
      <w:r>
        <w:t>Bei einer Zumutbarkeit von nur noch sehr leichten und sitzenden Tätigkeiten ohne vornübergebeugte Haltung, häufige Rumpfrotationen und Zwangshaltun gen des Fusses sowie einer zeitlich verminderten Arbeitsfähigkeit um 40 % gewährte das Bundesgericht einen leidensbedingten Abzug von 10 % (Urteil des Bundesgerichts 8C_74/2020 vom 22. September 2022, E. 4.4.2). Mit Blick auf diesen Vergleichsfall rechtfertigt sich vorliegend ein leidensbedingter Abzug von maximal 10 %.</w:t>
      </w:r>
    </w:p>
    <w:p>
      <w:r>
        <w:t>Somit beträgt das Invalideneinkommen Fr. 35'277.-- (Fr. 39 ’ 197.-- x 0.9).</w:t>
      </w:r>
    </w:p>
    <w:p>
      <w:r>
        <w:rPr>
          <w:b/>
        </w:rPr>
        <w:t>E. 6.3.3</w:t>
      </w:r>
    </w:p>
    <w:p>
      <w:r>
        <w:t>Bei einer Gegenüberstellung mit dem Valideneinkommen von 68'111.-- resultiert eine Erwerbseinbusse von Fr. 32'834.--, was zu einem Invaliditätsgrad von 48 % führt und Anspruch auf eine Viertelsrente gibt .</w:t>
      </w:r>
    </w:p>
    <w:p>
      <w:r>
        <w:t>Die Beschwerdegegnerin berücksichtigte die im März 2021 eingetretene gesund heitliche Verbesserung nach Ablauf von drei Monaten und sprach dem Beschwerdeführer ab dem 1. Juli 2021 eine Viertelsrente zu, was der bundes gerichtlichen Praxis bei rückwirkender Zusprechung einer abgestuften oder befristeten Invalidenrente entspricht</w:t>
      </w:r>
    </w:p>
    <w:p>
      <w:r>
        <w:t>(vgl. E. 1.4) .</w:t>
      </w:r>
    </w:p>
    <w:p>
      <w:r>
        <w:rPr>
          <w:b/>
        </w:rPr>
        <w:t>E. 6.4</w:t>
      </w:r>
    </w:p>
    <w:p>
      <w:r>
        <w:t>Nach dem Gesagten erweist sich der angefochtene Entscheid als rechtens, was zur Abweisung der Beschwerde führt. 7.</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auf Fr. 800.-- anzusetzen und ausgangsgemäss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VogelR. Müller</w:t>
      </w:r>
    </w:p>
    <w:p>
      <w:r>
        <w:rPr>
          <w:b/>
        </w:rPr>
        <w:t>E. 8</w:t>
      </w:r>
    </w:p>
    <w:p>
      <w:r>
        <w:t>/203/1), was mit Blick auf die Akten zu keinen Beanstandungen Anlass gibt. Unter Berücksichtigung der Nominal lohnentwicklung (vgl. Bundesamt für Statistik [BFS], Tabelle T 39, Entwicklung der Nominallöhne, der Konsumentenpresie und der Reallöhne, Männer) ergibt sich für das Jahr 2021 ein Valideneinkommen von gerundet 68'111.-- (Fr. 67'155. 35 : 2249 [2017] x 2281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