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IV.2022.00528 vom 7. November 2022</w:t>
      </w:r>
    </w:p>
    <w:p>
      <w:r>
        <w:t>ZH Sozialversicherungsgericht, 2022-11-07, DE</w:t>
      </w:r>
    </w:p>
    <w:p>
      <w:r>
        <w:rPr>
          <w:b/>
        </w:rPr>
        <w:t xml:space="preserve">Quelle: </w:t>
      </w:r>
      <w:r>
        <w:t>https://mcp.opencaselaw.ch/entscheid/zh_sozialversicherungsgericht_IV.2022.00528</w:t>
      </w:r>
    </w:p>
    <w:p>
      <w:r>
        <w:t>FR: ZH_SOZIALVERSICHERUNGSGERICHT IV.2022.00528 du 7 novembre 2022</w:t>
      </w:r>
    </w:p>
    <w:p>
      <w:r>
        <w:t>IT: ZH_SOZIALVERSICHERUNGSGERICHT IV.2022.00528 del 7 novembre 2022</w:t>
      </w:r>
    </w:p>
    <w:p>
      <w:pPr>
        <w:pStyle w:val="Heading2"/>
      </w:pPr>
      <w:r>
        <w:t>Erwägungen</w:t>
      </w:r>
    </w:p>
    <w:p>
      <w:r>
        <w:rPr>
          <w:b/>
        </w:rPr>
        <w:t>E. 1</w:t>
      </w:r>
    </w:p>
    <w:p>
      <w:r>
        <w:t>Der 2004 gebor ene X.___ befin d et sich seit 1. August 2021 bis voraussichtlich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Die an gefochtene Verfügung erging nach dem 1. Januar 202 2. Gemäss lit . a der Über gangsbestimmungen zur Änderung des IVG vom 1 9. Juni 2020 (Weiter entwicklung der IV) werden Taggelder, die bei Inkrafttreten dieser Änderung nach den Artikeln 22 Absatz 1 bis und 23 Absätze 2 und 2 bis nach bisherigem Recht ausgerichtet werden, weiter ausbezahlt bis zum Unterbruch oder Abschluss der Massnahme, aufgrund derer sie ausgerichtet werden.</w:t>
      </w:r>
    </w:p>
    <w:p>
      <w:r>
        <w:t>Vorliegend wurde die erstmalige berufliche Ausbildung bereits am 1. August 2021 begonnen ( Urk. 6/75) , weshalb die bis 31. Dezember 2021 gültig gewesenen Rechtsvorschriften anwendbar sind , die nachfolgend auch in dieser Fassung zitiert werden.</w:t>
      </w:r>
    </w:p>
    <w:p>
      <w:r>
        <w:rPr>
          <w:b/>
        </w:rPr>
        <w:t>E. 1.2</w:t>
      </w:r>
    </w:p>
    <w:p>
      <w:r>
        <w:t>Versicherte haben gemäss Art. 22 IVG während der Durchführung von Ein gliederungsmassnahmen nach Art. 8 Abs.</w:t>
      </w:r>
    </w:p>
    <w:p>
      <w:r>
        <w:rPr>
          <w:b/>
        </w:rPr>
        <w:t>E. 1.3</w:t>
      </w:r>
    </w:p>
    <w:p>
      <w:r>
        <w:t>Gemäss Art. 23 Abs. 2 IVG beträgt die Grundentschädigung 80 %</w:t>
      </w:r>
    </w:p>
    <w:p>
      <w:r>
        <w:t>des letzten ohne gesundheitliche Einschränkung erzielten Erwerbseinkommens, jedoch nicht mehr als 80 %</w:t>
      </w:r>
    </w:p>
    <w:p>
      <w:r>
        <w:t>des Höchstbetrages des Taggeldes nach Artikel 24 Absatz 1. Sie beträgt 30 %</w:t>
      </w:r>
    </w:p>
    <w:p>
      <w:r>
        <w:t>des Höchstbetrages des Taggeldes nach Artikel 24 Absatz 1 für Ver sicherte, die das 2 0. Altersjahr vollendet haben und ohne Invalidität nach ab geschlossener Ausbildung eine Erwerbstätigkeit aufgenommen hätten ( Abs. 2) . Das Taggeld von Versicherten in der erstmaligen beruflichen Ausbildung sowie von Versicherten vor dem vollendeten 2 0. Altersjahr, die noch nicht erwerbstätig gewesen sind und sich medizinischen Eingliederungsmassnahmen unterziehen, entspricht 10 % des Höchstbetrages des Taggeldes nach Art. 24 Abs. 1 IVG ( Art. 23 Abs. 2 bis IVG in Verbindung mit Art. 22 IVV). Bei Personen, die Anspruch auf eine «kleines Taggeld» haben, fehlt die Bezugsgrösse des Erwerbseinkommens, weshalb sich ihr Taggeld in Prozent des gesetzlich statuierten Höchstbetrages des Taggeldes bemisst (Meyer/ Reichmuth , Rechtsprechung des Bundesgerichts zum IVG, 3. Auflage, 2014, Art. 23 N 6). 2.</w:t>
      </w:r>
    </w:p>
    <w:p>
      <w:r>
        <w:t>2.1</w:t>
      </w:r>
    </w:p>
    <w:p>
      <w:r>
        <w:t>Die Beschwerdegegnerin führte in der angefochtenen Verfügung aus ( Urk. 2), dass die Voraussetzungen für ein Taggeld während der Eingliederungsmassnahme vom 1. Januar 2024 bis 3 1. Juli 2025 erfüllt seien. Für den Zeitraum vom 1. bis 6. Januar 2024 betrage die Grundentschädigung Fr. 40.70 pro Tag (S. 1). Ab dem Tag nach Vollendung des 2 0. Altersjahres habe der Beschwerdeführer Anspruch auf den Höchstbetrag des kleinen IV-Taggeldes (S. 2). Für den Zeitraum vom 7. Januar bis 3 1. Dezember 2024 und ab 1. Januar 2025 betrage die Grund entschädigung Fr. 122.10 pro Tag (S. 1). 2.2</w:t>
      </w:r>
    </w:p>
    <w:p>
      <w:r>
        <w:t>Der Beschwerdeführer machte demgegenüber sinngemäss geltend ( Urk. 1), er habe bereits ab dem Zeitpunkt des regulären Lehrabschlusses, das wäre der 1. August 2022, Anspruch auf den Höchstansatz des kleinen Taggeldes von Fr. 122.10 pro Tag. 2.3</w:t>
      </w:r>
    </w:p>
    <w:p>
      <w:r>
        <w:t>Mit Beschwerdeantwort vom 2 7. Oktober 2022 führte die Beschwerdegegnerin aus ( Urk. 5), dass sie im laufenden Beschwerdeverfahren mit Verfügung vom 26. Oktober 2022 die angefochtene IV-Taggeld Verfügung vom 2 3. August 2022 aus formellen Gründen aufgehoben habe ( Urk. 6/194) und die Beschwerde folglich als gegenstandslos abzuschreiben sei ( Urk. 5) .</w:t>
      </w:r>
    </w:p>
    <w:p>
      <w:r>
        <w:rPr>
          <w:b/>
        </w:rPr>
        <w:t>E. 3</w:t>
      </w:r>
    </w:p>
    <w:p>
      <w:r>
        <w:t>ATSG (vgl. vorstehende E. 3.3.2) kommt nach der Rechtsprechung nur zum Tragen, wenn die Behörde zu Gunsten der Beschwerde führenden Partei verfügt (Urteil des Bundesgerichts 9C_22/2019 vom 7. Mai 2019 E. 3.1). Vorliegend stellt die Aufhebung der an gefochtenen Verfügung den Beschwerdeführer nicht besser, denn es ist unklar, in welchem Umfang und ob eine neue Verfügung erlassen wird. Somit war das Vor gehen der Beschw erdegegnerin nicht zulässig. Die Verfügung vom 26. Oktober 2022 ist daher aufzuheben (vgl. Urteil des Bun desgerichts 2C_553/2015 vom 26. November 2015 E. 2.3 mit weiteren Hinweisen). Es bleibt bei der</w:t>
      </w:r>
    </w:p>
    <w:p>
      <w:r>
        <w:t>angefochtene n Verfügung vom 2 3. August 2022 ( Urk. 2).</w:t>
      </w:r>
    </w:p>
    <w:p>
      <w:r>
        <w:rPr>
          <w:b/>
        </w:rPr>
        <w:t>E. 3.1</w:t>
      </w:r>
    </w:p>
    <w:p>
      <w:r>
        <w:t>Strittig und zu prüfen ist vorliegend einzig die Höhe des Taggelds. Vorab stellt sich jedoch die Frage, ob beziehungsweise in welchem Umfang auf die Beschwerde einzutreten ist und in diesem Zusammenhang welcher Zeitraum V er fügungsgegenstand bildet.</w:t>
      </w:r>
    </w:p>
    <w:p>
      <w:r>
        <w:rPr>
          <w:b/>
        </w:rPr>
        <w:t>E. 3.2.1</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3.2.2</w:t>
      </w:r>
    </w:p>
    <w:p>
      <w:r>
        <w:t>Vorliegend beinhaltet die angefochtene V erfügung die Taggeldhöhe für den Zeit raum vom 1. Januar 2024 bis 3 1. Juli 2025, wobei dem Beschwerdeführer ledig lich bis zum 6. Januar 2024 die tiefere Grundentschädigung von Fr. 40.70 («kleines Taggeld») pro Tag und ab dem 7. Januar 2024 de r Höchstbetrag des kleinen Taggelds von Fr. 122.10 zugesprochen wurde ( Urk. 2). Die Höhe der ab 7. Januar 2024 zugesprochenen Taggelder entspricht</w:t>
      </w:r>
    </w:p>
    <w:p>
      <w:r>
        <w:t>somit der Höhe der vom Beschwerdeführer beantragten Taggelder ( Urk. 1 S. 1) .</w:t>
      </w:r>
    </w:p>
    <w:p>
      <w:r>
        <w:t>Der Beschwerdeführer beantragte die Ausrichtung der Taggelder in Höhe von F r. 122.10 bereits ab dem 1. August 2022 ( Urk. 1). Über den Zeitraum vom 1. August 2022 bis 3 1. Dezember 2023 äussert sich die Verfügung jedoch nicht respektive es wurde darüber vorliegend nicht verfügt, weshalb für diesen Zeit raum kein Anfechtungsgegenstand vorliegt . In diesem Umfang ist somit nicht auf die Beschwerde einzutreten , da es an einer Sachurteilsvoraussetzung fehlt (vgl. obenstehende E. 3.2.1). Für den Zeitraum vom 1. bis 6. Januar 2024 wird auf die Beschwerde eingetreten.</w:t>
      </w:r>
    </w:p>
    <w:p>
      <w:r>
        <w:rPr>
          <w:b/>
        </w:rPr>
        <w:t>E. 3.2.3</w:t>
      </w:r>
    </w:p>
    <w:p>
      <w:r>
        <w:t>Zusammengefasst bildet daher lediglich der Taggeldanspruch vom 1. bis 6. Januar 2024 Gegenstand des vorliegenden Beschwerdever f ahrens. Dies be züglich bleibt zu prüfen, ob mit der von der Beschwerdegegnerin neu erlasse nen Verfügung vom 2 6. Oktober 2022 (Urk. 6/194) das Beschwerdeverfahren gegen standslos geworden ist.</w:t>
      </w:r>
    </w:p>
    <w:p>
      <w:r>
        <w:rPr>
          <w:b/>
        </w:rPr>
        <w:t>E. 3.3.1</w:t>
      </w:r>
    </w:p>
    <w:p>
      <w:r>
        <w:t>Die Beschwerdegegnerin machte geltend, sie habe mit Verfügung vom 26. Oktober 2022 ( Urk. 7/194) die angefochtene Verfügung ( Urk. 2) aus formellen Gründen aufgehoben, weswegen das Verfahren abzuschreiben sei (vgl. vor stehende E. 2.3).</w:t>
      </w:r>
    </w:p>
    <w:p>
      <w:r>
        <w:rPr>
          <w:b/>
        </w:rPr>
        <w:t>E. 3.3.2</w:t>
      </w:r>
    </w:p>
    <w:p>
      <w:r>
        <w:t>Nach Art. 53 Abs. 3 ATSG kann der Versicherungsträger eine Verfügung oder einen Einspracheentscheid , gegen die Beschwerde erhoben wurde, so lange wiedererwägen, bis er gegenüber der Beschwerdebehörde Stellung nimmt (vgl. Art. 58 des Bundesgesetzes über das Verwaltungsverfahren, VwVG ).</w:t>
      </w:r>
    </w:p>
    <w:p>
      <w:r>
        <w:t>Die – nicht an die Voraussetzungen gemäss Art. 53 Abs. 2 ATSG gebundene (vgl. BGE 107 V 191) – Wiedererwägung der angefochtenen Verfügung beziehungsweise des angefochtenen Einspracheentscheides während eines hängigen Verfahrens führt nur dann zu dessen Gegenstandslosigkeit, wenn mit der Wiedererwägung den im Beschwerdeverfahren gestellten Rechtsbegehren vollumfänglich entsprochen worden ist. Entspricht die nach Wiedererwägung er lassene Verfügung indessen nur teilweise den gestellten Begehren, darf die Beschwerde nicht insgesamt als gegenstandslos betrachtet werden; in diesem Fall ist das Beschwerdeverfahren weiterzuführen, soweit es durch die neue Verfügung nicht hinfällig geworden ist (Urteil des Bundesgerichts 8C_1036/2012 vom 21. Mai 2013 E. 3.3; vgl. BGE 127 V 228 E. 2b/ bb und Urteil des Bundesgerichts 9C_22/2019 vom 7. Mai 2019 E. 3.1, je mit Hinweisen).</w:t>
      </w:r>
    </w:p>
    <w:p>
      <w:r>
        <w:rPr>
          <w:b/>
        </w:rPr>
        <w:t>E. 3.3.3</w:t>
      </w:r>
    </w:p>
    <w:p>
      <w:r>
        <w:t>Die Verfügung der Beschwerdegegnerin vom 2 6. Oktober 2022 erging während de s hängigen Beschwerdeverfahren s. Darin wurde entschieden, dass die an gefochtene Verfügung vom 2 3. August 2022 aus formellen Gründen aufgehoben werde ( Urk. 7/194 ). Eine entsprechende Begründung fehlt. Das B egehren des Besch w erdeführers lautete jedoch auf Ausrichtung der Taggelder in Höhe von Fr. 122.10 ab 1. August 202 2. Somit sind die Voraussetzungen für die Gegen standslosigkeit des Verfahrens nicht erfüllt, denn dem materiellen Begehren des Beschwerdeführers wurde nicht entsprochen , sondern die V erfügung wurde lediglich aus formellen Gründen aufgehoben . Eine Gegenstandslosigkeit des Ver fahrens liegt demnach nicht vor.</w:t>
      </w:r>
    </w:p>
    <w:p>
      <w:r>
        <w:rPr>
          <w:b/>
        </w:rPr>
        <w:t>E. 3.3.4</w:t>
      </w:r>
    </w:p>
    <w:p>
      <w:r>
        <w:t>Es bleibt die Rechtmässigkeit des Vorgehens der Beschwerdegegnerin respektive des Erlasses der Verfügung vom 2 6. Oktober 2022 zu prüfen. Grundsätzlich kann die untere Instanz, deren Verfügung angefochten wird, über die Sache, die G egenstand der mit Beschwerde angefochtene Verfügung bildet, nicht mehr ver fügen ( Devolutiveffekt ; vgl. Art. 54 VwVG</w:t>
      </w:r>
    </w:p>
    <w:p>
      <w:r>
        <w:t>i.V.m . Art. 55 Abs. 1 ATSG sowie Urteil des Bundesgerichts 2C_553/2015 vom 2 6. November 2015 E. 2.3 mit weitern Hinweisen ). Die Bestimmung von Art. 53 Abs.</w:t>
      </w:r>
    </w:p>
    <w:p>
      <w:r>
        <w:rPr>
          <w:b/>
        </w:rPr>
        <w:t>E. 4.1</w:t>
      </w:r>
    </w:p>
    <w:p>
      <w:r>
        <w:t>In Abweichung von Art. 52 Abs. 1 ATSG hat</w:t>
      </w:r>
    </w:p>
    <w:p>
      <w:r>
        <w:t>die IV-Stelle der versicherten Person den vorgesehenen Endentscheid über ein Leistungsbegehren oder den Entzug oder die Herabsetzung einer bisher gewährten Leistung mittels Vorbescheid mit zu teilen . Die versicherte Person hat Anspruch auf rechtliches Gehör im Sinne von Art. 42 ATSG ( Art. 57a Abs. 1 IVG ). Die Parteien können innerhalb einer Frist von 30 Tagen Einwände gegen den Vorbescheid vorbringen ( Abs. 3).</w:t>
      </w:r>
    </w:p>
    <w:p>
      <w:r>
        <w:t>Sinn und Zweck des Vorbescheidverfahrens besteht darin, eine unkomplizierte Diskussion des Sachverhalts zu ermöglichen und dadurch die Akzeptanz des Ent scheids bei den Versicherten zu verbessern (BGE 134 V 97 E. 2.7). Das Vor bescheidverfahren dient zwar auch der Ausübung des rechtlichen Gehörs, geht aber über den verfassungsrechtlichen Mindestanspruch ( Art. 29 Abs. 2 der Bundesverfassung, BV) hinaus, indem es Gelegenheit bietet, sich zur vor gesehenen Rechtsanwendung sowie zum beabsichtigten Endentscheid zu äussern. Der verfassungsrechtliche Mindestanspruch gibt keinen Anspruch darauf, zur geplanten Erledigung Stellung zu nehmen (BGE 134 V 97 E. 2.8.1). Die Nicht beachtung der gesetzlichen Pflicht zum Erlass des Vorbescheids im um schriebenen Rahmen wie überhaupt Verstösse gegen die bei der Durchführung des Vorbescheidverfahrens zu beachtenden Regeln über die Gehörs- respektive Akteneinsichtsgewährung sind, soweit es sich nicht um blosse Ordnungs vorschriften handelt, nach den Grundsätzen über die Verletzung des rechtlichen Gehörs zu sanktionieren (BGE 116 V 182; Urteil des Bundesgerichts 9C_555/2020 vom 3. März 2021) .</w:t>
      </w:r>
    </w:p>
    <w:p>
      <w:r>
        <w:rPr>
          <w:b/>
        </w:rPr>
        <w:t>E. 4.2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 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mit Hinweisen).</w:t>
      </w:r>
    </w:p>
    <w:p>
      <w:r>
        <w:rPr>
          <w:b/>
        </w:rPr>
        <w:t>E. 4.3</w:t>
      </w:r>
    </w:p>
    <w:p>
      <w:r>
        <w:t>Das Recht, angehört zu werden, ist formeller Natur. Die Verletzung des recht lichen Gehörs führt ungeachtet der materiellen Begründetheit des Rechtsmittels in der Sache selbst zur Gutheissung der Beschwerde und zur Aufhebung des an 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mit Hinweisen).</w:t>
      </w:r>
    </w:p>
    <w:p>
      <w:r>
        <w:rPr>
          <w:b/>
        </w:rPr>
        <w:t>E. 4.4</w:t>
      </w:r>
    </w:p>
    <w:p>
      <w:r>
        <w:t>Nach der Rechtsprechung erweist sich die Verletzung der Anhörungspflicht schon dann als schwerwiegend, wenn ein nach Erlass des Vorbescheids ergangenes Begehren um Aktenedition oder eine Stellungnahme zum Vorbescheid un berück sichtigt geblieben ist, indem auf die vorgebrachten Einwendungen nicht ein gegangen wurde. Dies hat erst recht für den Fall zu gelten, dass überhaupt kein Vorbescheidverfahren durchgeführt und ohne Gewährung des rechtlichen Gehörs zum Beispiel eine rentenablehnende Verfügung erlassen wird (Urteil des Bundes gerichts I 584/01 vom 2 4. Juli 2002 E. 2 mit weiteren Hinweisen). Es kann ledig lich in speziell gelagerten Ausnahmefällen auf das Vorbescheidverfahren ver zichtet werden (BGE 134 V 97 E. 2.8.2 und 2.9.1 mit Hinweisen; Urteil des Bundesgerichts 9C_356/2011 vom 3. Februar 2012 E. 3.4 [beide Urteile noch zur bis Ende 2011 in Kraft gestandenen Rechtslage]; vgl. nunmehr Art. 74 ter IVV [ Leistungszusprache bezüglich bestimmter Leistungen ohne Erlass eines Vor bescheids oder einer Verfügung]). Die Möglichkeit der Heilung einer ent sprechenden Unterlassung im Rahmen des nachfolgenden Beschwerdeprozesses wird sodann nur sehr zurückhaltend angenommen (BGE 134 V 97 E. 2.9.2 mit weiteren Hinweisen; Urteil des Bundesgerichts 9C_555/2020 vom 3. März 2021 E. 4.4.2 mit weiteren Hinweisen).</w:t>
      </w:r>
    </w:p>
    <w:p>
      <w:r>
        <w:rPr>
          <w:b/>
        </w:rPr>
        <w:t>E. 5</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