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IV.2022.00436 vom 28. Februar 2023</w:t>
      </w:r>
    </w:p>
    <w:p>
      <w:r>
        <w:t>ZH Sozialversicherungsgericht, 2023-02-28, DE</w:t>
      </w:r>
    </w:p>
    <w:p>
      <w:r>
        <w:rPr>
          <w:b/>
        </w:rPr>
        <w:t xml:space="preserve">Quelle: </w:t>
      </w:r>
      <w:r>
        <w:t>https://mcp.opencaselaw.ch/entscheid/zh_sozialversicherungsgericht_IV.2022.00436</w:t>
      </w:r>
    </w:p>
    <w:p>
      <w:r>
        <w:t>FR: ZH_SOZIALVERSICHERUNGSGERICHT IV.2022.00436 du 28 février 2023</w:t>
      </w:r>
    </w:p>
    <w:p>
      <w:r>
        <w:t>IT: ZH_SOZIALVERSICHERUNGSGERICHT IV.2022.00436 del 28 febbraio 2023</w:t>
      </w:r>
    </w:p>
    <w:p>
      <w:pPr>
        <w:pStyle w:val="Heading2"/>
      </w:pPr>
      <w:r>
        <w:t>Erwägungen</w:t>
      </w:r>
    </w:p>
    <w:p>
      <w:r>
        <w:rPr>
          <w:b/>
        </w:rPr>
        <w:t>E. 2</w:t>
      </w:r>
    </w:p>
    <w:p>
      <w:r>
        <w:t>ATSG zu ziehen, da dies ausschliesslich im Ermessen der Beschwerdegegnerin liegt („kann“)</w:t>
      </w:r>
    </w:p>
    <w:p>
      <w:r>
        <w:t>und kein gerichtlich durchsetzbarer Anspruch auf Wiedererwägung besteht (vgl. Urteil des Bundes gerichts 9C_70/2021 vom 1 2. April 2021 E. 4.2 mit Hinweisen ) . Sofern die Beschwerde führerin mit ihren Ausführungen ( Urk. 15 S. 4-6)</w:t>
      </w:r>
    </w:p>
    <w:p>
      <w:r>
        <w:t>eine prozessuale Revision nach Art. 53 Abs. 1 ATSG meint, wenn sie ausführt, die Verfügung sei nicht nur der Wiedererwägung zugänglich, sondern müsse in Wiedererwägung gezogen werden (S. 4), wird nicht dargelegt und ist auch nicht aus den Akten ersichtlich, dass neue Tatsachen oder Beweismittel vorliegen würden , die nicht bereits im ursprünglichen Verfahren hätten beigebracht werden können (vgl. BGE 143 V 105 E. 2.3). Wenn die Beschwerdeführerin weiter argumentiert , dass sinn gemäss und konkludent eine Rücknahme der Verfügung vorliege ( Urk. 15 S. 2-3), verkennt sie, dass weder der Umstand, dass die IV-Stelle - im Rahmen der Amtshilfe für</w:t>
      </w:r>
    </w:p>
    <w:p>
      <w:r>
        <w:t>das Amt für Zusatzleistungen - Sachverhaltsabklärungen traf, noch die entsprechende Kommunikation einer Wiedererwägung der ursprüng lichen Verfügung gleichgesetzt werden. Die erfolgten Abklärungen setzten denn auch nicht die vorgängige Aufhebung der ursprünglichen Verfügung voraus (Urteil des Bundesgericht 9C_565/2020 vom 1 7. März 2021 E. 2.5.2).</w:t>
      </w:r>
    </w:p>
    <w:p>
      <w:r>
        <w:t>Schliesslich dringt die Beschwerdeführerin auch mit dem Argument nicht durch, dass die Verfügung vom 3 0. April 2018 mangelhaft zugestellt worden sei (Urk.</w:t>
      </w:r>
    </w:p>
    <w:p>
      <w:r>
        <w:t>15 S. 1-2 ). Der Versicherungsträger hat gemäss</w:t>
      </w:r>
    </w:p>
    <w:p>
      <w:r>
        <w:t>Art. 37 Abs.</w:t>
      </w:r>
    </w:p>
    <w:p>
      <w:r>
        <w:rPr>
          <w:b/>
        </w:rPr>
        <w:t>E. 3</w:t>
      </w:r>
    </w:p>
    <w:p>
      <w:r>
        <w:t>ATSG seine Mitteilungen an den Vertreter einer Partei zu richten, solange diese ihre Vollmacht nicht widerrufen hat. Vorliegend erfolgte die Zustellung der Verfügung vom 3 0. April 2018 an die damalige Rechtsvertreterin. Diese hat erst mit Schreiben vom 3. Mai 2018 mitgeteilt, dass das Mandat beendet sei und lediglich in Bezug auf die künftige Korrespondenz ersucht , diese wieder direkt der Beschwerdeführerin zuzustellen ( Urk.</w:t>
      </w:r>
    </w:p>
    <w:p>
      <w:r>
        <w:rPr>
          <w:b/>
        </w:rPr>
        <w:t>E. 8</w:t>
      </w:r>
    </w:p>
    <w:p>
      <w:r>
        <w:t>/87/3) . Die unverarbeitete posttraumatische Belastungsstörung ICD-10 F43.1 lag bereits 2017 vor (E. 5.1). In diesem Zusammenhang ist ebenfalls die Diagnose der andauernden Persön lichkeitsänderung nach extremer Belastung zu sehen. Wie Dr. Y.___ ausführt, geht einer solchen Diagnose oft eine posttraumatische Belastungs störung voraus, wie dies bei der Beschwerdeführerin der Fall ist. Die Symptome dieser beiden Störungen können sich überlappen ( Urk. 8/61/2) . Insofern ist auch bei dieser Diagnose ausgewiesen, dass sie in Verbindung mit der bekannten posttraumatischen Belastungsstörung der Beschwerdeführerin steht. 5.4</w:t>
      </w:r>
    </w:p>
    <w:p>
      <w:r>
        <w:t>Nach dem Gesagten ergibt sich somit, dass bei der Beschwerdeführerin seit der ursprünglichen Verfügung vom 3 0. April 2018 kein neuer Versicherungsfall respektive keine zur Grunderkrankung völlig verschiedene psychische Störung hinzugetreten ist . Damit</w:t>
      </w:r>
    </w:p>
    <w:p>
      <w:r>
        <w:t>ist ihr die Rechtskraft der Verfügung vom 30.</w:t>
      </w:r>
    </w:p>
    <w:p>
      <w:r>
        <w:t>April 2018 in Bezug auf die fehlenden versicherungsmässigen Voraussetzungen entgegen zuhalten.</w:t>
      </w:r>
    </w:p>
    <w:p>
      <w:r>
        <w:t>Dies führt zur Abweisung der Beschwerde . 6. 6.1</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Beschwerdeführe r i n aufzuerlegen. 6.2</w:t>
      </w:r>
    </w:p>
    <w:p>
      <w:r>
        <w:t>Diese beantragte die Gewährung der unentgeltlichen Prozessführung und unent geltlichen Rechtsvertretung in der Person von Rechtsanwalt Oskar Müller ( Urk. 1 S. 3).</w:t>
      </w:r>
    </w:p>
    <w:p>
      <w:r>
        <w:t>Gemäss § 16 Abs. 1 des Gesetzes über das Sozialversicherungsgericht (GSVGer) wird einer Partei, der die nötigen Mittel fehlen und deren Begehren nicht aussichtslos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6.3</w:t>
      </w:r>
    </w:p>
    <w:p>
      <w:r>
        <w:t>Da die Beschwerdeführerin auf die finanzielle Unterstützung durch die Sozialhilfe angewiesen ist (vgl. Urk. 4 ) und das von ihr gestellte Rechtsbegehren nicht als aussichtslos einzustufen ist, sind die Voraussetzungen für die Gewährung der unentgeltlichen Prozessführung erfüllt. Folglich sind die Gerichtskosten von Fr. 700.-- einstweilen auf die Gerichtskasse zu nehmen.</w:t>
      </w:r>
    </w:p>
    <w:p>
      <w:r>
        <w:t>Ebenso sind die Voraussetzungen für die unentgeltliche Rechtsvertretung (§ 16 Abs. 2 GSVGer) erfüllt und es ist Rechtsanwalt Oskar Müller aus der Gerichtskasse zu entschädigen. Dieser reichte keine Honorarnote ein, weswegen u nter Berück sichtigung der Streitsache und der Schwierigkeit des Prozesses die Prozessent schädigung auf Fr. 2’7 00. -- (inkl . Barauslagen und Mehrwertsteuer) festzusetzen ist. 6. 4</w:t>
      </w:r>
    </w:p>
    <w:p>
      <w:r>
        <w:t>Die Beschwerdeführerin ist auf § 16 Abs. 4 GSVGer hinzuweisen, wonach sie zur Nachzahlung der Auslagen für die unentgeltliche Rechtspflege verpflichtet ist, sobald sie dazu in der Lage ist. Das Gericht beschliesst,</w:t>
      </w:r>
    </w:p>
    <w:p>
      <w:r>
        <w:t>In Bewilligung des Gesuchs vom 2 6. August 2022 wird der Beschwerdeführerin die unentgeltliche Prozessführung gewährt und Rechtsanwalt Oskar Müller , Zug , als unentgeltlicher Rechtsvertreter für das vorliegende Verfahren bestellt, und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Oskar Müller, Zug, wird mit Fr. 2’700 .-- (inkl. Barauslagen und MWSt ) aus der Gerichtskasse entschä digt. Die Beschwerdeführerin wird auf die Nachzahlungspflicht gemäss § 16 Abs. 4 GSVGer hingewiesen. 4.</w:t>
      </w:r>
    </w:p>
    <w:p>
      <w:r>
        <w:t>Zustellung gegen Empfangsschein an: - Rechtsanwalt Oskar Müller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