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IV.2022.00392 vom 3. August 2023</w:t>
      </w:r>
    </w:p>
    <w:p>
      <w:r>
        <w:t>ZH Sozialversicherungsgericht, 2023-08-03, DE</w:t>
      </w:r>
    </w:p>
    <w:p>
      <w:r>
        <w:rPr>
          <w:b/>
        </w:rPr>
        <w:t xml:space="preserve">Quelle: </w:t>
      </w:r>
      <w:r>
        <w:t>https://mcp.opencaselaw.ch/entscheid/zh_sozialversicherungsgericht_IV.2022.00392</w:t>
      </w:r>
    </w:p>
    <w:p>
      <w:r>
        <w:t>FR: ZH_SOZIALVERSICHERUNGSGERICHT IV.2022.00392 du 3 août 2023</w:t>
      </w:r>
    </w:p>
    <w:p>
      <w:r>
        <w:t>IT: ZH_SOZIALVERSICHERUNGSGERICHT IV.2022.00392 del 3 agosto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geborene X.___</w:t>
      </w:r>
    </w:p>
    <w:p>
      <w:r>
        <w:t>wurde am 1 4. April 1972 im Zusam menhang mit einem Entwicklungsrückstand erstmals bei der Eidgenössischen Invalidenversicherung zum Leistungsbezug an gemeldet (Urk.</w:t>
      </w:r>
    </w:p>
    <w:p>
      <w:r>
        <w:t>7/1). Mit Beschluss vom 2 1. Juni 1972 erteilte diese Kostengutsprache für die Behandlung der Geburtsgebrechen Nr. 390 und Nr. 452 ( Urk. 7/3). Im Oktober 1982 wurde bei der Versicherten eine angeborene Schallleitungsschwerhörigkeit rechts mit Verdacht auf Mittelohrmissbildung diagnostiziert ( Urk. 7/31). Mit Beschluss vom 1 4. Juli 1983 erteilte die Eidgenössische Invalidenversicherung Kostengutsprache für die Überwachung sowie die Behandlung des Geburtsgebrechens Nr. 152 ( Urk. 7/46) ; die Kostenübernahme für ein Hörgerät erfolgte mit Beschluss vom 6. September 1984 ( Urk. 7/55). Im Jahr 1990 schloss die Versicherte eine Ausbildung zur Büroangestellten ab ( Urk. 7/73 S. 4).</w:t>
      </w:r>
    </w:p>
    <w:p>
      <w:r>
        <w:rPr>
          <w:b/>
        </w:rPr>
        <w:t>E. 1.1</w:t>
      </w:r>
    </w:p>
    <w:p>
      <w:r>
        <w:t>Die im Jahre 197</w:t>
      </w:r>
    </w:p>
    <w:p>
      <w:r>
        <w:rPr>
          <w:b/>
        </w:rPr>
        <w:t>E. 1.2</w:t>
      </w:r>
    </w:p>
    <w:p>
      <w:r>
        <w:t>Am 6. Mai 1998 meldete sich die Versicherte im Zusammenhang mit einem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