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IV.2022.00365 vom 16. Januar 2023</w:t>
      </w:r>
    </w:p>
    <w:p>
      <w:r>
        <w:t>ZH Sozialversicherungsgericht, 2023-01-16, DE</w:t>
      </w:r>
    </w:p>
    <w:p>
      <w:r>
        <w:rPr>
          <w:b/>
        </w:rPr>
        <w:t xml:space="preserve">Quelle: </w:t>
      </w:r>
      <w:r>
        <w:t>https://mcp.opencaselaw.ch/entscheid/zh_sozialversicherungsgericht_IV.2022.00365</w:t>
      </w:r>
    </w:p>
    <w:p>
      <w:r>
        <w:t>FR: ZH_SOZIALVERSICHERUNGSGERICHT IV.2022.00365 du 16 janvier 2023</w:t>
      </w:r>
    </w:p>
    <w:p>
      <w:r>
        <w:t>IT: ZH_SOZIALVERSICHERUNGSGERICHT IV.2022.00365 del 16 gennaio 2023</w:t>
      </w:r>
    </w:p>
    <w:p>
      <w:pPr>
        <w:pStyle w:val="Heading2"/>
      </w:pPr>
      <w:r>
        <w:t>Erwägungen</w:t>
      </w:r>
    </w:p>
    <w:p>
      <w:r>
        <w:rPr>
          <w:b/>
        </w:rPr>
        <w:t>E. 1</w:t>
      </w:r>
    </w:p>
    <w:p>
      <w:r>
        <w:t>X.___ , geboren 1987, Mutter von drei Kindern (Jahrgang 2005, 2008 und 2014), meldete sich unter Hinweis auf eine schwere Depression am 21. Juni 2020 (Eingangsdatum: 19.08.202 0 ) bei der Invalidenversicherung zum Leistungsbezug an (Urk. 6/1). Die Sozialversicherungsanstalt des Kantons Zürich, IV-Stelle, klärte die medizinische und erwerbliche Situation ab und holte bei Med. pract.</w:t>
      </w:r>
    </w:p>
    <w:p>
      <w:r>
        <w:t>Y.___ , Facharzt für Neurologie, Facharzt für Psychiatrie und Psychotherapie, ein psy chiatrisches Gutachten ein, das am 3. September 2021 erstattet wurde (Urk.</w:t>
      </w:r>
    </w:p>
    <w:p>
      <w:r>
        <w:t>6/23).</w:t>
      </w:r>
    </w:p>
    <w:p>
      <w:r>
        <w:t>Nach durchgeführtem Vorbescheidverfahren (Urk. 6/28; Urk. 6/32) verneinte die IV-Stelle mit Verfügung vom 25. Mai 2022 einen Rentenanspruch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 vgl. Rz. 1008 des Kreisschreibens zu den Übergangsbestimmungen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 vorschriften anwend bar, die nachfolgend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 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w:t>
      </w:r>
    </w:p>
    <w:p>
      <w:r>
        <w:t>28 Abs. 2 IVG). 1.</w:t>
      </w:r>
    </w:p>
    <w:p>
      <w:r>
        <w:rPr>
          <w:b/>
        </w:rPr>
        <w:t>E. 2</w:t>
      </w:r>
    </w:p>
    <w:p>
      <w:r>
        <w:t>Die Versicherte erhob am 28. Juni 2022 Beschwerde gegen die Verfügung vom 25. Mai 2022 (Urk. 2) und beantragte, diese sei aufzuheben und es sei ihr eine Invalidenrente gestützt auf einen Invaliditätsgrad von mindestens 40 % aus zurichten, eventualiter seien weitere Sachverhaltsabklärungen zu treffen (Urk. 1</w:t>
      </w:r>
    </w:p>
    <w:p>
      <w:r>
        <w:t>S. 2).</w:t>
      </w:r>
    </w:p>
    <w:p>
      <w:r>
        <w:t>Die IV-Stelle beantragte mit Beschwerdeantwort vom 18. August 2022 die Abweisung der Beschwerde (Urk. 5), was der Beschwerdeführerin mit Gerichts verfügung vom 19. August 2022 zur Kenntnis gebracht wurde (Urk. 7). Das Gericht zieht in Erwägung: 1.</w:t>
      </w:r>
    </w:p>
    <w:p>
      <w:r>
        <w:rPr>
          <w:b/>
        </w:rPr>
        <w:t>E. 2.1</w:t>
      </w:r>
    </w:p>
    <w:p>
      <w:r>
        <w:t>Die Beschwerdegegnerin erwog in der angefochtenen Verfügung (Urk. 2), dass die Beschwerdeführerin unter Berücksichtigung von regelmässigen Ruhepausen seit Sommer 2018 durchschnittlich 50 % arbeitsunfähig sei (S. 1). Dem Gutachten sei zu entnehmen, dass keine besser angepasste Tätigkeit als im Haushalt zu erkennen sei. Ohne gesundheitliche Einschränkungen wäre sie zu 20 % erwerbs tätig und würde die restlichen 80 % für den Haushalt aufwenden. Die A b klä rungen durch den Aussendienst, um die Einschränkungen im Haushalts bereich zu erm itteln, hätten ergeben, dass die Beschwerdeführerin im Haushalts bereich zu 25.10 % eingeschränkt sei. Daraus ergebe sich ein IV-Gra d von 30 % , womit kein Anspruch auf Rentenleistungen bestehe (S. 2).</w:t>
      </w:r>
    </w:p>
    <w:p>
      <w:r>
        <w:rPr>
          <w:b/>
        </w:rPr>
        <w:t>E. 2.2</w:t>
      </w:r>
    </w:p>
    <w:p>
      <w:r>
        <w:t>Vorliegend ist unbestritten und von der Beschwerdeführerin nachvollziehbar und glaubhaft dargelegt, dass sie mit der Einschulung ihrer jüngsten Tochter (Sommer 2021) eine Tätigkeit in der Reinigungsbranche im Umfang von zwei bis zwei einhalb Stunden pro Tag aufgenommen hätte (vgl. Ausführungen in Urk. 6/26/4) . Gemäss Tabelle der b etriebsüblichen Arbeitszeit nach Wirtschaftsabteilungen (T03.02.03.01.04.01) betr ug die durchschnittliche wöchentliche Arbeitszeit bei der Erbringung von so nstigen Dienstleistungen (Ziff. 94-96) im Jahr 2021 41.9 Stunden pro Woche . Geht man von durchschnittlich 11.25 Stunden pro Woche (2.25 Stunden pro Werktag) aus, so entspricht dies einem Pensum von gerundet 27 %. Nach dem Gesagten ist die Beschwerdeführerin daher bis zur Einschulung ihrer jüngsten Tochter als 100 % im Haushalt tätig, nach der Einschulung ab Sommer 2021 als 27 % im Erwerb und 73 % im Haushalt tätig zu qualifizieren.</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w:t>
      </w:r>
    </w:p>
    <w:p>
      <w:r>
        <w:t>der</w:t>
      </w:r>
    </w:p>
    <w:p>
      <w:r>
        <w:t>Beurteilung</w:t>
      </w:r>
    </w:p>
    <w:p>
      <w:r>
        <w:t>der</w:t>
      </w:r>
    </w:p>
    <w:p>
      <w:r>
        <w:t>medizinischen</w:t>
      </w:r>
    </w:p>
    <w:p>
      <w:r>
        <w:t>Situation</w:t>
      </w:r>
    </w:p>
    <w:p>
      <w:r>
        <w:t>einleuchtet</w:t>
      </w:r>
    </w:p>
    <w:p>
      <w:r>
        <w:t>und</w:t>
      </w:r>
    </w:p>
    <w:p>
      <w:r>
        <w:t>ob</w:t>
      </w:r>
    </w:p>
    <w:p>
      <w:r>
        <w:t>die Schluss folgerungen der Experten begründet sind (BGE 134 V 231 E. 5.1, 125 V 351 E. 3a mit Hinweis). 2.</w:t>
      </w:r>
    </w:p>
    <w:p>
      <w:r>
        <w:rPr>
          <w:b/>
        </w:rPr>
        <w:t>E. 4.1</w:t>
      </w:r>
    </w:p>
    <w:p>
      <w:r>
        <w:t>Strittig und zu klären ist vorab die Qualifikation der Beschwerdeführerin respektive in welchem Umfang sie im Gesundheitsfall erwerbstätig wäre. Die Beschwerde führerin brachte gemäss Abklärungsbericht vor, es sei geplant gewe sen, dass sie einen Deutschkurs besuchen würde und danach - durch das gute Netzwerk - als Reinigungskraft zu arbeiten beginnen würde ,</w:t>
      </w:r>
    </w:p>
    <w:p>
      <w:r>
        <w:t>sobald die jüngste Tochter in der Schule sei (aktuell 1. Klasse). Das geplante Pensum hätte abends ca. zwei bis zweieinhalb Stunden betragen. Aus dem Bekanntenkreis habe die Familie gute Kontakte, welche eben falls bei Reinigungsfirmen in Winterthur arbeiten würden. Der Einstieg wäre für die Beschwerdeführerin so möglich gewe sen. Die Beschwerdegegnerin qualifizierte sie als 20 % im Erwerb und 80 % im Haushalt tätig (Urk. 6/26/4). Dagegen wendet die Beschwerdeführerin ein, dass die geplante Wochenarbeitszeit von zehn bis zwölfeinhalb Stunden einem Pensum von 25 % bis 30 % entspreche, weswegen sie als 30 % im Erwerb tätig zu qualifizieren sei (Urk. 1 S. 3-4) . 4.2.1</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4.3.1</w:t>
      </w:r>
    </w:p>
    <w:p>
      <w:r>
        <w:t>Es gilt somit</w:t>
      </w:r>
    </w:p>
    <w:p>
      <w:r>
        <w:t>weiter zu prüfen, in welchem Umfang die Beschwerdeführerin in ihrer Erwerbstätigkeit eingeschränkt ist.</w:t>
      </w:r>
    </w:p>
    <w:p>
      <w:r>
        <w:t>Wie in BGE 145 V 361 dargelegt, ist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 gen den Bogen schlagen zum vorausgehenden medizinisch-psychiatrischen Gut achtensteil (mit Aktenauszug, Anamnese, Befunden, Diagnosen usw.), das heisst sie haben im Einzelnen Bezug zu nehmen auf die in ihre Kompetenz fallenden erhobenen medizinisch-psychiatrischen Ergebnisse fachgerechter klinischer Prüfung und Exploration. Ärztlicherseits ist also substantiiert darzulegen, aus welchen medizinisch-psychiatrischen Gründen die erhobenen Befunde das funk 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rPr>
          <w:b/>
        </w:rPr>
        <w:t>E. 4.3.2</w:t>
      </w:r>
    </w:p>
    <w:p>
      <w:r>
        <w:t>Im</w:t>
      </w:r>
    </w:p>
    <w:p>
      <w:r>
        <w:t>psychiatrischen Gutachte n von Dr. Y.___</w:t>
      </w:r>
    </w:p>
    <w:p>
      <w:r>
        <w:t>( Urk.</w:t>
      </w:r>
    </w:p>
    <w:p>
      <w:r>
        <w:t>6/23) wird bezüglich d e r Arbeits fähigkeit in angepasster Tätigke it aufgeführt, dass eine besser angepasste Tätigkeit als jene im Haushalt nicht erkennbar sei (S. 32). Die Tätigkeit im Haus halt darf aber entgegen der Ansicht der Beschwerdegegnerin (vgl. Urk. 2 S. 2)</w:t>
      </w:r>
    </w:p>
    <w:p>
      <w:r>
        <w:t>nicht einer angepasste n Tätigkeit auf dem ersten Arbeitsmarkt gleichgesetzt werden . Denn im Rahmen ein e s Arbeitsverhältnisses sind andere Anforderungen an die Leistungsfähigkeit nötig als in einer selbständig en, flexibel eintei lbaren Tätigkeit im eigenen Haushalt. So führte der psychiatrische Gutachter auch aus, dass die Beschwerdeführerin in den Bereichen des Antriebs und des Durchhalte vermögens sowie in allen Mini - ICF - APP-Bereichen erheblich beeinträchtigt sei ( Urk.</w:t>
      </w:r>
    </w:p>
    <w:p>
      <w:r>
        <w:t>6/23</w:t>
      </w:r>
    </w:p>
    <w:p>
      <w:r>
        <w:t>S.</w:t>
      </w:r>
    </w:p>
    <w:p>
      <w:r>
        <w:t>31) . Diese Fähigkeiten sind jedoch unabdingbar e Voraussetzungen</w:t>
      </w:r>
    </w:p>
    <w:p>
      <w:r>
        <w:t>in einer Tätig keit auf de m ersten Arbeitsmarkt. Insofern wurde von ihm schlüssig und nach vollziehbar dargelegt, dass die Beschwerdeführerin aktuell und mindestens seit 2018 nicht in der Lage ist , einer regelmässigen beruflichen Tätigkeit auf dem ersten Arbeitsmarkt nachzugehen (S. 32). Auch die Frage, wie viele Stunden pro Woche die Beschwerdeführerin eine angepasste Tätigkeit ausüben könnte, wenn sie gleichzeitig im Aufgabenbereich (Haushalt) tätig wäre, hat er explizit mit 0</w:t>
      </w:r>
    </w:p>
    <w:p>
      <w:r>
        <w:t>h/Woche beantwortet und damit begründet, dass die Beschwerdeführerin bereits mit Tätigkeiten im Haushalt überfordert ist</w:t>
      </w:r>
    </w:p>
    <w:p>
      <w:r>
        <w:t>(S. 36).</w:t>
      </w:r>
    </w:p>
    <w:p>
      <w:r>
        <w:rPr>
          <w:b/>
        </w:rPr>
        <w:t>E. 4.3.3</w:t>
      </w:r>
    </w:p>
    <w:p>
      <w:r>
        <w:t>Nach dem Gesagten ergibt sich somit, dass die Ausführungen im psychiatrischen Gutachten zur funktionellen Leistungsfähigkeit in einer leidensangepassten Tätigkeit schlüssig dargelegt worden sind und dass die Beschwerdeführerin in einer leidensangepassten Tätigkeit seit mindestens 2018 zu 100 % arbeitsunfähig ist (vgl. Urk. 6/23 S. 32-33) . Diese Einschätzung hält auch mit Blick auf die Indikatoren (vgl. vorstehende E . 4.3.1) stand. So geht aus dem Gutachten</w:t>
      </w:r>
    </w:p>
    <w:p>
      <w:r>
        <w:t>hervor , dass die Beschwerdeführerin aufgrund der krankheitsimmanenten erheblichen Beeinträchtigung im Bereich des Antriebs und des Durchhaltevermögens sowie zusätzlicher Überlagerung infolge der Medikation im Sinne einer Sedierung über deutlich begrenzte Ressourcen in allen Mini-ICF-Bereichen verfügt ( Urk. 6/23 S. 31). Sie ist damit aufgrund ihres Störungsbildes erheblich in ihren Aktivitäten des täglichen Lebens beeinträchtigt (S. 29).</w:t>
      </w:r>
    </w:p>
    <w:p>
      <w:r>
        <w:t>Es bleibt somit die Einschränkung im Haushalt zu prüfen.</w:t>
      </w:r>
    </w:p>
    <w:p>
      <w:r>
        <w:rPr>
          <w:b/>
        </w:rPr>
        <w:t>E. 5.1</w:t>
      </w:r>
    </w:p>
    <w:p>
      <w:r>
        <w:t>Während die Beschwerdegegnerin gestützt auf den Abklärungsbericht betreffend die Abklärung vom 2. Februar 2022 davon ausging, dass die Beschwerdeführerin zu 25.10 % eingeschränkt sei (Urk. 6/26), machte die Beschwerdeführerin geltend, es liege eine höhergradige Einschränkung von 54.1 % vor (Urk. 1 S. 6).</w:t>
      </w:r>
    </w:p>
    <w:p>
      <w:r>
        <w:rPr>
          <w:b/>
        </w:rPr>
        <w:t>E. 5.2</w:t>
      </w:r>
    </w:p>
    <w:p>
      <w:r>
        <w:t>Die Arbeitsunfähigkeit im Sinne von Art. 28 Abs. 1 lit. b IVG entspricht der Einbusse an funktionellem Leistungsvermögen im bisherigen Beruf oder Aufgaben bereich (Art. 6 ATSG; BGE 130 V 97 E. 3.2). Bei der Bemessung der Inva lidität von im Haushalt tätigen Versicherten ist die Schadenminderungs pflicht von erheblicher Relevanz. Nach der Rechtsprechung ist dabei vom Grund satz auszugehen, dass einem Leistungsansprecher im Rahmen der Schadenmin 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 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 schädigung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 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 falls für eine ersatzweise Ausführung der entsprechenden Teilfunktion in Frage kommt. Schliesslich vermag die Tatsache, dass sich die der Rechtsprechung zugrunde liegenden, in Art. 159 Abs. 2 und 3 des Schweizerischen Zivilgesetz buchs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 cherten nichts zu ändern.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 zugehen, was in der sozialen Realität üblich und zumutbar ist, unabhängig davon, ob eine Mithilfe rechtlich durchsetzbar ist (BGE 133 V 504 E. 4.2 mit Hinweisen).</w:t>
      </w:r>
    </w:p>
    <w:p>
      <w:r>
        <w:rPr>
          <w:b/>
        </w:rPr>
        <w:t>E. 5.3</w:t>
      </w:r>
    </w:p>
    <w:p>
      <w:r>
        <w:t>Die von einer qualifizierten Person durchgeführte Abklärung vor Ort (nach Mass gabe des Art. 69 Abs. 2 IVV; vgl. auch Rz. 3600 ff. des Kreisschreibens über Invalidität und Rente in der Invalidenversicherung, KSIR, gültig ab 1. Januar</w:t>
      </w:r>
    </w:p>
    <w:p>
      <w:r>
        <w:t>2022)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Bundesgerichts 8C_817/2013 vom 28. Mai 2014 E. 5.1).</w:t>
      </w:r>
    </w:p>
    <w:p>
      <w:r>
        <w:rPr>
          <w:b/>
        </w:rPr>
        <w:t>E. 5.4</w:t>
      </w:r>
    </w:p>
    <w:p>
      <w:r>
        <w:t>Vorliegend ist dem Abklärungsbericht insgesamt eine Einschränkung von 25.10 % zu entnehmen (Urk. 6/26). Diese steht im Widerspruch zu der gutachterlichen Einschätzung, wonach die Leistungsfähigkeit der Beschwerde führerin überwiegend w ahrscheinlich unter Berücksichtigung der zumutbaren Unterstützung der Familienangehörigen bei 40 - 60 % lieg t (Urk. 6/23/29) .</w:t>
      </w:r>
    </w:p>
    <w:p>
      <w:r>
        <w:rPr>
          <w:b/>
        </w:rPr>
        <w:t>E. 5.5</w:t>
      </w:r>
    </w:p>
    <w:p>
      <w:r>
        <w:t>.4</w:t>
      </w:r>
    </w:p>
    <w:p>
      <w:r>
        <w:t>Angesichts der gesamten Umstände, der Schwächen des Abklärungsberichts und der schwere n psychischen Erk rankung der Beschwerdeführerin mit</w:t>
      </w:r>
    </w:p>
    <w:p>
      <w:r>
        <w:t>Einnahme starke r antipsychotische r Medikamente , die sich verstärkend negativ auf die Leistungs fähigkeit der Beschwerdeführerin im Haushaltsbereich auswirken, recht fertigt es sich vorliegend, den nachvollziehbaren ärztlichen Feststellungen auf grund der psychisch bedingten Behinderung (E. 5.2.2) mehr Gewicht beizumessen. Entsprechend ist gestützt auf das psychiatrische Gutachten von einer 50%igen Einschränkung im Aufgabenbereich auszugehen (Mittelwert der gutachterlich attestierten Einschränkung</w:t>
      </w:r>
    </w:p>
    <w:p>
      <w:r>
        <w:t>von 40 % bis 60 %, vgl . Urteil des Bundesgerichts 9C_782/2019 vom 15. April 2020 E. 2.2 ) .</w:t>
      </w:r>
    </w:p>
    <w:p>
      <w:r>
        <w:rPr>
          <w:b/>
        </w:rPr>
        <w:t>E. 5.5.1</w:t>
      </w:r>
    </w:p>
    <w:p>
      <w:r>
        <w:t>Das Gespräch zu Haushaltsabklärung fand am 2. Februar 2022 virtuell statt (Urk. 6/26/1). Ob dadurch die räumlichen und örtlichen Verhältnisse der Abklä rungsperson bekannt waren (vgl. E. 5.3) , ist zumindest fraglich. Dies kann aber offen gelassen werden, da vorliegend ohnehin nicht auf den Abklärungsbericht abgestellt werden kann, wie nachfolgend zu zeigen ist.</w:t>
      </w:r>
    </w:p>
    <w:p>
      <w:r>
        <w:rPr>
          <w:b/>
        </w:rPr>
        <w:t>E. 5.5.2</w:t>
      </w:r>
    </w:p>
    <w:p>
      <w:r>
        <w:t>Angesichts der Divergenzen der Einschätzung der Abklärungsperson, welche auf eine Einschränkung im Haushaltsbereich von insgesamt 25.10 % schloss (Urk. 6/26/9), zur gutachterlichen Schätzung einer 40 bis 60 %igen Einschrän kung im Haushalt (vgl. E. 3.3), stellt sich die Frage, ob die Abklärungsperson den sich aus der gemischten schizoaffektiven Störung ergebenden Einschränkungen genügend Rechnung getragen hat . Neben der mit der schweren depressiven Episode (Urk. 6/23/24) einhergehenden erheblichen Beeinträchtigung im Bereich des Antriebs und der Affektivität sowie im Bereich der kognitiven Funktionen (Urk. 6/2 3 /25) muss auch berücksichtigt werden, dass die Bes chwerdeführerin auch aufgrund des schizoiden Anteils der Erkrankung ho chpotente</w:t>
      </w:r>
    </w:p>
    <w:p>
      <w:r>
        <w:t>ant i psychotische M edikamente einnehmen muss. Diese führen wie im Gutachten eindrücklich dargelegt</w:t>
      </w:r>
    </w:p>
    <w:p>
      <w:r>
        <w:t>zu einer zunehmenden Antriebsstörung und Müdigkeit (Urk.</w:t>
      </w:r>
    </w:p>
    <w:p>
      <w:r>
        <w:t>6/2 3 /28). Das wird auch dadurch deutlich, dass die Beschwerdeführerin täglich zwischen 8:00 und 10:00 Uhr Betreuung von der Spitex benötigt, damit überhaupt die Medikamenteneinnahme gewährleistet ist. Auch würde die Spitex versuchen, die Beschwerdeführerin für einen Spaziergang zu motivieren. Danach gehe diese wieder ins Bett. Auch am Nachmittag lege sich die Beschwerdeführerin wieder ins Bett , bis jemand am späten Nachmittag nach Hause komme (Urk. 6/26/2).</w:t>
      </w:r>
    </w:p>
    <w:p>
      <w:r>
        <w:t>Zwar ist davon auszugehen, dass eine rasche Erschöpfbarkeit im Haushaltsbereich aufgrund der grundsätzlich freien Einteilbarkeit der Arbeiten und der Möglichkeit zur Einlegung von Pausen im Falle eines kleinen bis durchschnittlichen Haushaltes im Regelfall keine übermässigen Einschränkungen nach sich zieht (Urteil des Bundesgerichts 9C_55/2021 vom 1. Juli 2021 E. 4.2). Die Familien konstellation der Beschwerdeführerin mit zwei</w:t>
      </w:r>
    </w:p>
    <w:p>
      <w:r>
        <w:t>minderjährigen Kindern lässt eine freie Einteilbarkeit der Aufgaben jedoch nur in beschränktem Umfang zu, können doch zum Beispiel das Kochen wie a uch die K inderbetreuung gerade nicht aufge schoben werden.</w:t>
      </w:r>
    </w:p>
    <w:p>
      <w:r>
        <w:t>Diesen Umständen wird im Abklärungsbericht zumindest nicht nachvollziehbar Rechnung getragen, was vermuten lässt, dass es der Abklärungs person nur beschränkt möglich war, das Ausmass des Leidens und der damit ver bundenen Einschränkungen zu erkennen.</w:t>
      </w:r>
    </w:p>
    <w:p>
      <w:r>
        <w:rPr>
          <w:b/>
        </w:rPr>
        <w:t>E. 6</w:t>
      </w:r>
    </w:p>
    <w:p>
      <w:r>
        <w:t>/ 26/6-8 ) mitberücksichtigt</w:t>
      </w:r>
    </w:p>
    <w:p>
      <w:r>
        <w:t>und es ist dem Bericht nicht abschliessend zu entnehmen, in welchem Umfang von der Mithilfe auch der Schwiegereltern ausgegangen wurde. Jedenfalls lässt sich aus de r Formulierung, dass die Eltern des Ehemannes für die Famil i e kochen (Urk. 6/26/6) oder die Erwähnung</w:t>
      </w:r>
    </w:p>
    <w:p>
      <w:r>
        <w:t>einer Dritthilfe durch die Eltern bei der Wäsche und Kleiderpflege (Urk. 6/26/8), darauf schliessen, dass die Beschwerdegegnerin die Mitwirkungs pflicht ebenfalls auf die Schwiegereltern ausgedehnt hat. Bei den Schwiegereltern handelt es sich um Drittpersonen, die nicht im selben Haushalt leben. Zwar ist gemäss bundesgerichtlicher Rechtsprechung in Bezug auf den Haushaltbereich davon auszugehen, was in der sozialen Realität üblich und zumutbar ist, unab hängig davon, ob eine Mithilfe rechtlich durchsetzbar ist (BGE 133 V 504 E. 4.2) . Vorliegend erscheint jedoch die Ausdehnung der Schadenminderungspflicht auf die Schwiegereltern in den Bereichen Ernährung, Wohnungspflege, Wäsche und Kleiderpflege</w:t>
      </w:r>
    </w:p>
    <w:p>
      <w:r>
        <w:t>als überspannt .</w:t>
      </w:r>
    </w:p>
    <w:p>
      <w:r>
        <w:t>Weiter gilt es ebenfalls zu berücksichtigen, dass die Beschwerdeführerin auch zwei m al pro Monat gesundheitsbedingt durch die Spitex bei der Wohnungsreinigung unterstützt wird (Urk. 6/26/7).</w:t>
      </w:r>
    </w:p>
    <w:p>
      <w:r>
        <w:rPr>
          <w:b/>
        </w:rPr>
        <w:t>E. 6.1</w:t>
      </w:r>
    </w:p>
    <w:p>
      <w:r>
        <w:t>Es bleibt der Invaliditätsgrad der Beschwerdeführerin zu prüfen, wobei sie ab Sommer 2021 als 27 % im Erwerb und 73 % im Haushalt zu qualifizieren ist (vgl.</w:t>
      </w:r>
    </w:p>
    <w:p>
      <w:r>
        <w:t>E. 4.2.2).</w:t>
      </w:r>
    </w:p>
    <w:p>
      <w:r>
        <w:rPr>
          <w:b/>
        </w:rPr>
        <w:t>E. 6.2</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w:t>
      </w:r>
    </w:p>
    <w:p>
      <w:r>
        <w:t>27 bis</w:t>
      </w:r>
    </w:p>
    <w:p>
      <w:r>
        <w:t>Abs. 2 IVV). Die Berechnung des Invaliditätsgrads in Bezug auf die Erwerbstätigkeit richtet sich nach Art. 16 ATSG, wobei das Erwerbs einkommen, das die versicherte Person durch die Teilerwerbstätigkeit erzielen könnte, wenn sie nicht invalid geworden wäre, auf eine Vollerwerbstätigkeit hochgerechnet wird (Art. 27 bis Abs. 3 lit. a IVV) und die prozentuale Erwerbs einbusse anhand des Beschäftigungsgrads, den die versicherte Person hätte, wenn sie nicht invalid geworden wäre, gewichtet wird (Art. 27 bis Abs. 3 lit. b IVV). Für die Berechnung des Invaliditätsgrads in Bezug auf die Betätigung im Aufgaben 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 wichtet (Art. 27 bis Abs. 4 IVV).</w:t>
      </w:r>
    </w:p>
    <w:p>
      <w:r>
        <w:rPr>
          <w:b/>
        </w:rPr>
        <w:t>E. 6.3</w:t>
      </w:r>
    </w:p>
    <w:p>
      <w:r>
        <w:t>Die gutachterlich attestierte vollständige Arbeitsunfähigkeit der Beschwer de füh rerin gilt seit 2018 (vgl. E. 4.3.3).</w:t>
      </w:r>
    </w:p>
    <w:p>
      <w:r>
        <w:t>S omit wäre das gesetzliche Wartejahr (Art.</w:t>
      </w:r>
    </w:p>
    <w:p>
      <w:r>
        <w:t>28 Abs. 1 lit. b IVG) spätestens Ende 2019 abgelaufen. Die IV-Anmeldung</w:t>
      </w:r>
    </w:p>
    <w:p>
      <w:r>
        <w:t>erfolgte jedoch verspätet erst am 21. J uni 2020, wobei sie erst am 19. August 2020 bei der Beschwerdegegnerin eingegangen ist (Urk. 6/1) . Gemäss Art. 29 Abs.</w:t>
      </w:r>
    </w:p>
    <w:p>
      <w:r>
        <w:t>1 IVG entsteht der Rentenanspruch frühestens nach Ablauf von sechs Monaten nach Geltendmachung des Leistungsanspruchs. Das ist folglich Februar 2021. Da die Beschwerdeführerin zu diesem Zeitpunkt im Gesundheitsfall noch nicht erwerbs tätig gewesen wäre (da ihre jüngste Tochter erst im Sommer 2021 eingeschult wurde , vgl. E. 4 .2.2 ), ist sie bis Juli 2021 als 100 % im Aufgabenbereich (Haushalt) zu qualifizieren. Bei einer Einschränkung von 50 % (vgl. E. 5.5.4) ergibt sich dadurch ein IV-Grad von 50</w:t>
      </w:r>
    </w:p>
    <w:p>
      <w:r>
        <w:t>%. Somit besteht für die Zeit von Februar bis Juli 2021 ein Anspruch auf eine halbe Rente der Inva liden versicherung (vgl. E. 1.3) .</w:t>
      </w:r>
    </w:p>
    <w:p>
      <w:r>
        <w:rPr>
          <w:b/>
        </w:rPr>
        <w:t>E. 6.4</w:t>
      </w:r>
    </w:p>
    <w:p>
      <w:r>
        <w:t>Im August 2021 erfolgte wie bereits ausgeführt die Einschulung der jüngsten Tochter der Beschwerdeführerin und die Beschwerdeführerin wäre ab diesem Zeitpunkt im Gesundheitsfall zu 27 % erwerbstätig. Bei einer vollständigen Arbeitsunfähigkeit im Erwerb</w:t>
      </w:r>
    </w:p>
    <w:p>
      <w:r>
        <w:t>resultiert ein Teil-Invaliditätsgrad von 27 % im Erwerb (27 % x 100 %) .</w:t>
      </w:r>
    </w:p>
    <w:p>
      <w:r>
        <w:t>Im Haushalt ist die Beschwerdeführerin entsprechend zu 73 % zu qualifizieren. Bei einer Einschränkung von 50 % ergibt sich daraus ein Teil-Invaliditätsgrad von 36.5 % im Aufgabenbereich (73 % x 50 %) .</w:t>
      </w:r>
    </w:p>
    <w:p>
      <w:r>
        <w:t>Daraus ergibt sich ein Gesamt-Invaliditätsgrad von (gerundet) 64 % (27 %</w:t>
      </w:r>
    </w:p>
    <w:p>
      <w:r>
        <w:t>+</w:t>
      </w:r>
    </w:p>
    <w:p>
      <w:r>
        <w:t>36.5 %) . Somit hat die Beschwerdeführerin ab August 2021 Anspruch auf eine Drei viertelsrente (vgl. E. 1.3). Die Beschwerde ist entsprechend gut zu heissen und die angefochtene Verfügung unter Feststellung des Renten anspruchs aufzuheben.</w:t>
      </w:r>
    </w:p>
    <w:p>
      <w:r>
        <w:rPr>
          <w:b/>
        </w:rPr>
        <w:t>E. 7</w:t>
      </w:r>
    </w:p>
    <w:p>
      <w:r>
        <w:t>00.-- anzusetzen.</w:t>
      </w:r>
    </w:p>
    <w:p>
      <w:r>
        <w:t>Entsprechend dem Ausgang des Ver fahrens sind sie der Beschwerdegegnerin aufzuerlegen.</w:t>
      </w:r>
    </w:p>
    <w:p>
      <w:r>
        <w:rPr>
          <w:b/>
        </w:rPr>
        <w:t>E. 7.1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w:t>
      </w:r>
    </w:p>
    <w:p>
      <w:r>
        <w:rPr>
          <w:b/>
        </w:rPr>
        <w:t>E. 7.2</w:t>
      </w:r>
    </w:p>
    <w:p>
      <w:r>
        <w:t>Nach § 34 Abs. 1 des Gesetzes über das Sozialversicherungsgericht (GSVGer) hat</w:t>
      </w:r>
    </w:p>
    <w:p>
      <w:r>
        <w:t>die obsiegende Partei Anspruch auf Ersatz der Parteikosten. Die Höhe der gerichtlich festzusetzenden Entschädigung bemisst sich nach der Bedeutung der Streit sache, der Schwierigkeit des Prozesses und dem Mass des Obsiegens, jedoch ohne Rücksicht auf den Streitwert (§ 34 Abs. 3 GSVGer). Als weitere Bemessungs kriterien nennt § 7 GebV SVGer den Zeitaufwand und die Barauslagen.</w:t>
      </w:r>
    </w:p>
    <w:p>
      <w:r>
        <w:t>In Anwendung dieser Grundsätze rechtfertigt sich die Zusprechung einer Prozess entschädigung von Fr. 1 ‘ 4 00.-- (inklusive Barauslagen und Mehrwertsteuer). Das Gericht erkennt: 1.</w:t>
      </w:r>
    </w:p>
    <w:p>
      <w:r>
        <w:t>In Gutheissung der Beschwerde wird die Verfügung der Sozia l versicherungsanstalt des Kantons Zürich, IV-Stelle, vom 2 5. Mai 20 22</w:t>
      </w:r>
    </w:p>
    <w:p>
      <w:r>
        <w:t>aufgehoben und es wird festgestellt , dass die Beschwerdeführer in von 1. Februar 20 21 bis 31. Juli 2021 Anspruch auf eine halbe Invalidenrente und ab 1. August 2021 Anspruch auf eine Dreiviertelsrente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1’400 .-- (inkl. Barauslagen und MWSt)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 ren Begründung mit Angabe der Beweismit tel und die Unterschrift des Beschwerdeführers oder seines Vertreters zu enthalten; der angefochtene Entscheid sowie die als Beweismittel angerufenen Urkunden sind beizulegen, soweit die Partei sie in Händen hat (Art. 42 BGG ) .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