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IV.2022.00286 vom 5. Juni 2022</w:t>
      </w:r>
    </w:p>
    <w:p>
      <w:r>
        <w:t>ZH Sozialversicherungsgericht, 2022-06-05, DE</w:t>
      </w:r>
    </w:p>
    <w:p>
      <w:r>
        <w:rPr>
          <w:b/>
        </w:rPr>
        <w:t xml:space="preserve">Quelle: </w:t>
      </w:r>
      <w:r>
        <w:t>https://mcp.opencaselaw.ch/entscheid/zh_sozialversicherungsgericht_IV.2022.00286</w:t>
      </w:r>
    </w:p>
    <w:p>
      <w:r>
        <w:t>FR: ZH_SOZIALVERSICHERUNGSGERICHT IV.2022.00286 du 5 juin 2022</w:t>
      </w:r>
    </w:p>
    <w:p>
      <w:r>
        <w:t>IT: ZH_SOZIALVERSICHERUNGSGERICHT IV.2022.00286 del 5 giugno 2022</w:t>
      </w:r>
    </w:p>
    <w:p>
      <w:pPr>
        <w:pStyle w:val="Heading2"/>
      </w:pPr>
      <w:r>
        <w:t>Erwägungen</w:t>
      </w:r>
    </w:p>
    <w:p>
      <w:r>
        <w:rPr>
          <w:b/>
        </w:rPr>
        <w:t>E. 1</w:t>
      </w:r>
    </w:p>
    <w:p>
      <w:r>
        <w:t>5. Juni 2022 in Sachen X.___ Beschwerdeführerin vertreten durch S yndicom – Gewerkschaft Medien und Kommunikation lic. iur. Z.___ gegen Sozialversicherungsanstalt des Kantons Zürich, IV-Stelle Röntgenstrasse 17, Postfach, 8087 Zürich Beschwerdegegnerin</w:t>
      </w:r>
    </w:p>
    <w:p>
      <w:r>
        <w:rPr>
          <w:b/>
        </w:rPr>
        <w:t>E. 1.1</w:t>
      </w:r>
    </w:p>
    <w:p>
      <w:r>
        <w:t>X.___ , geboren 1973, meldete sich am 3 0. März 2021 bei der Sozial versicherungs anstalt des Kantons Zürich, IV-Stelle, zum Leistungsbezug an ( Urk.</w:t>
      </w:r>
    </w:p>
    <w:p>
      <w:r>
        <w:rPr>
          <w:b/>
        </w:rPr>
        <w:t>E. 1.2</w:t>
      </w:r>
    </w:p>
    <w:p>
      <w:r>
        <w:t>Dagegen erhob X.___</w:t>
      </w:r>
    </w:p>
    <w:p>
      <w:r>
        <w:t>mit Einga be vo m</w:t>
      </w:r>
    </w:p>
    <w:p>
      <w:r>
        <w:rPr>
          <w:b/>
        </w:rPr>
        <w:t>E. 2</w:t>
      </w:r>
    </w:p>
    <w:p>
      <w:r>
        <w:t>ATSG ) ist zur Beschwerde berechtigt, wer durch die angefochtene Verfügung oder den Einspracheentscheid berührt ist und ein schutzwürdiges Interesse an deren Auf hebung oder Änderung hat. Der Begriff des schutzwürdigen Interesses für das Verfahren vor dem kantonalen Versicherungsgericht ist gleich auszulegen wie derjenige nach</w:t>
      </w:r>
    </w:p>
    <w:p>
      <w:r>
        <w:t>Art. 89 Abs. 1 lit. c des Bundesgesetzes über das Bundesgericht ( BGG) für das Verfahren der Beschwerde in öffentlich-rechtlichen Ange legen heiten vor dem Bundesgericht. Ein schutzwürdiges Interesse liegt somit vor, wenn die tatsächliche oder rechtliche Situation des oder der Rechtsuchenden durch den Ausgang des Verfahrens beeinflusst werden kann. Dabei wird verlangt, dass die beschwerdeführende Person durch den angefochtenen Verwaltungsakt (Ver fü gung oder Einspracheentscheid) stärker als jedermann betroffen ist und in einer besonderen, beachtenswerten, nahen Beziehung zur Streitsache steht (Urteil des Bundesgerichts 9C_246/2016 vom 3 1. August 2016 E. 2 mit weiteren Hin weisen ).</w:t>
      </w:r>
    </w:p>
    <w:p>
      <w:r>
        <w:rPr>
          <w:b/>
        </w:rPr>
        <w:t>E. 3</w:t>
      </w:r>
    </w:p>
    <w:p>
      <w:r>
        <w:t>.2</w:t>
      </w:r>
    </w:p>
    <w:p>
      <w:r>
        <w:t>Dazu ist festzuhalten, dass das Bundesgericht wohl ein schützenswertes Feststel lungs inte res se auf eine genaue Bemessung des IV-Grades in einem Fall, in welchem je nach exakt erhobenen Valideneinkommen ein Anspruch auf eine Viertels-, halbe oder Drei viertelsinvalidenrente denkbar war und die Vorsorge ein richtung an den von der IV-Stelle ermittelten IV-Grad gebunden war, bejaht hat (Urteil des Bundes gerichts 9C_858/2010 vom 1 7. Mai 2011 E. 2.4). Mit einem später gefällten Urteil erkannte das Bundesgericht jedoch, dass es</w:t>
      </w:r>
    </w:p>
    <w:p>
      <w:r>
        <w:t>auch aus berufs vorsorgerechtlicher Sicht dann an einem schutzwürdigen Interesse zur Anfechtung der Verfügung der IV-Stelle</w:t>
      </w:r>
    </w:p>
    <w:p>
      <w:r>
        <w:t>fehle, wenn nach der Rechtsprechung der im IV-Verfahren ermittelte Invaliditätsgrad keine Bindungswirkung für die berufliche Vorsorge entfa lte . Dies gelte dann, wenn er nicht genau («präzis») bestimmt werden m ü ss e , weil eine grobe Schätzung für die Festsetzung des Umfangs des Anspruchs oder die Verneinung eines Anspruchs genüg e (Urteil des Bundesgerichts 9C_932/2012 vom 1 7. April 2013 E. 3.2). Im vorliegenden Fall</w:t>
      </w:r>
    </w:p>
    <w:p>
      <w:r>
        <w:t>schloss die die Beschwerdegegnerin ihre beruflichen Massnahmen mit Mitteilung vom 1 2. Mai 2021 ab ( Urk. 1 S. 3, Urk. 2 S. 1 ) und prüf t e hernach d en Renten anspruch der Beschwerdeführerin ( Urk. 2 S. 1). Der angefochtenen Verfügung ist ferner zu ent nehmen, dass sich die Beschwerdeführerin erst am 30. März 2021 bei der Beschwerdegegnerin zum Leistungsbezug angemeldet hat (Urk. 2 S. 1). Anderseits blieb im angefochtenen Entscheid aber unerwähnt, wann das Warte jahr (vgl. Art. 28 Abs. 1 lit. b IVG) begann und endete. Deshalb lässt sich anhand der vorliegenden Akten nicht abschliessend eruieren , über welche Zeitperiode die Beschwerdegegnerin verfügt hat , was wiederum für die Bestimmung des anwend baren Rechts mass gebend ist (vgl. E. 3.2.1 des zur Publika tion vorgesehenen Urteils des Bundes gerichts 9C_390/2021 vom 8. Februar 2022) . Die Frage, ob hier das IVG in der bis 31. Dezember 2021 gültig gewesenen Fassung , oder aber die Normen ab 1. Januar 2022 zur Anwendung kommen, kann hier jedoch offen blei ben. Beide Fassungen von Art.</w:t>
      </w:r>
    </w:p>
    <w:p>
      <w:r>
        <w:t>28 Abs.</w:t>
      </w:r>
    </w:p>
    <w:p>
      <w:r>
        <w:t>1 lit.</w:t>
      </w:r>
    </w:p>
    <w:p>
      <w:r>
        <w:t>c IVG setzen für die Zusprache einer Invalidenrente voraus, dass die versicherte Person nach Ablauf des Wartejahres zu mindestens 40 % invalid ( Art.</w:t>
      </w:r>
    </w:p>
    <w:p>
      <w:r>
        <w:rPr>
          <w:b/>
        </w:rPr>
        <w:t>E. 8</w:t>
      </w:r>
    </w:p>
    <w:p>
      <w:r>
        <w:t>ATSG) ist. In invalidenversicherungsrecht licher Sicht konnte sich die Beschwer degegnerin</w:t>
      </w:r>
    </w:p>
    <w:p>
      <w:r>
        <w:t>für die von ihr verfügte Ver nei nung des Anspruchs der Beschwerde führerin somit auf die Feststellung beschrän ken, dass kein Invaliditätsgrad von mindestens 40 %</w:t>
      </w:r>
    </w:p>
    <w:p>
      <w:r>
        <w:t>bestehe ( Urk. 2 S. 2). Gemäss der bundesgerichtlichen Recht sprechung und entgegen d er Ansicht der Beschwer de führerin besteht in diesem Fall mangels Bindungswirkung für die berufliche Vorsorge auch aus berufsvorsorgerechtlicher Hinsicht kein schützenswertes Inte resse an der beantragten Feststellung eine s IV-Grades von 25 % durch das Sozi alver siche 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